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8D0" w:rsidRPr="009D0528" w:rsidRDefault="00A938D0" w:rsidP="00A938D0">
      <w:pPr>
        <w:pStyle w:val="Default"/>
        <w:rPr>
          <w:rFonts w:ascii="Times New Roman" w:hAnsi="Times New Roman" w:cs="Times New Roman"/>
        </w:rPr>
      </w:pPr>
      <w:bookmarkStart w:id="0" w:name="_GoBack"/>
      <w:bookmarkEnd w:id="0"/>
    </w:p>
    <w:p w:rsidR="003905A4" w:rsidRPr="001D15D4" w:rsidRDefault="0006283C" w:rsidP="003905A4">
      <w:pPr>
        <w:pStyle w:val="Default"/>
        <w:jc w:val="center"/>
        <w:rPr>
          <w:rFonts w:ascii="Times New Roman" w:hAnsi="Times New Roman" w:cs="Times New Roman"/>
          <w:b/>
          <w:sz w:val="56"/>
          <w:szCs w:val="56"/>
        </w:rPr>
      </w:pPr>
      <w:r w:rsidRPr="001D15D4">
        <w:rPr>
          <w:rFonts w:ascii="Times New Roman" w:hAnsi="Times New Roman" w:cs="Times New Roman"/>
          <w:b/>
          <w:sz w:val="56"/>
          <w:szCs w:val="56"/>
        </w:rPr>
        <w:t>Taiwan</w:t>
      </w:r>
      <w:r w:rsidR="003905A4" w:rsidRPr="001D15D4">
        <w:rPr>
          <w:rFonts w:ascii="Times New Roman" w:hAnsi="Times New Roman" w:cs="Times New Roman"/>
          <w:b/>
          <w:sz w:val="56"/>
          <w:szCs w:val="56"/>
        </w:rPr>
        <w:t xml:space="preserve"> Corporate Governance Association</w:t>
      </w:r>
    </w:p>
    <w:p w:rsidR="001F766A" w:rsidRPr="001D15D4" w:rsidRDefault="0006283C" w:rsidP="001F766A">
      <w:pPr>
        <w:pStyle w:val="Default"/>
        <w:jc w:val="center"/>
        <w:rPr>
          <w:rFonts w:ascii="Times New Roman" w:hAnsi="Times New Roman" w:cs="Times New Roman"/>
          <w:sz w:val="40"/>
          <w:szCs w:val="40"/>
        </w:rPr>
      </w:pPr>
      <w:r w:rsidRPr="001D15D4">
        <w:rPr>
          <w:rFonts w:ascii="Times New Roman" w:hAnsi="Times New Roman" w:cs="Times New Roman"/>
          <w:b/>
          <w:sz w:val="56"/>
          <w:szCs w:val="56"/>
        </w:rPr>
        <w:t>Report for Performance Evaluation of Board of Directors</w:t>
      </w:r>
    </w:p>
    <w:p w:rsidR="001F766A" w:rsidRPr="001D15D4" w:rsidRDefault="001F766A" w:rsidP="001F766A">
      <w:pPr>
        <w:pStyle w:val="Default"/>
        <w:jc w:val="center"/>
        <w:rPr>
          <w:rFonts w:ascii="Times New Roman" w:hAnsi="Times New Roman" w:cs="Times New Roman"/>
          <w:sz w:val="40"/>
          <w:szCs w:val="40"/>
        </w:rPr>
      </w:pPr>
    </w:p>
    <w:p w:rsidR="001F766A" w:rsidRPr="001D15D4" w:rsidRDefault="001F766A" w:rsidP="001F766A">
      <w:pPr>
        <w:pStyle w:val="Default"/>
        <w:jc w:val="center"/>
        <w:rPr>
          <w:rFonts w:ascii="Times New Roman" w:hAnsi="Times New Roman" w:cs="Times New Roman"/>
          <w:sz w:val="40"/>
          <w:szCs w:val="40"/>
        </w:rPr>
      </w:pPr>
    </w:p>
    <w:p w:rsidR="001F766A" w:rsidRPr="001D15D4" w:rsidRDefault="0006283C" w:rsidP="001F766A">
      <w:pPr>
        <w:pStyle w:val="Default"/>
        <w:jc w:val="center"/>
        <w:rPr>
          <w:rFonts w:ascii="Times New Roman" w:hAnsi="Times New Roman" w:cs="Times New Roman"/>
          <w:sz w:val="40"/>
          <w:szCs w:val="40"/>
        </w:rPr>
      </w:pPr>
      <w:r w:rsidRPr="001D15D4">
        <w:rPr>
          <w:rFonts w:ascii="Times New Roman" w:hAnsi="Times New Roman" w:cs="Times New Roman"/>
          <w:noProof/>
        </w:rPr>
        <w:drawing>
          <wp:inline distT="0" distB="0" distL="0" distR="0" wp14:anchorId="7EC6399C" wp14:editId="159D1474">
            <wp:extent cx="3203466" cy="2853885"/>
            <wp:effectExtent l="0" t="0" r="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13650" cy="2862957"/>
                    </a:xfrm>
                    <a:prstGeom prst="rect">
                      <a:avLst/>
                    </a:prstGeom>
                  </pic:spPr>
                </pic:pic>
              </a:graphicData>
            </a:graphic>
          </wp:inline>
        </w:drawing>
      </w:r>
    </w:p>
    <w:p w:rsidR="001F766A" w:rsidRPr="001D15D4" w:rsidRDefault="001F766A" w:rsidP="001F766A">
      <w:pPr>
        <w:pStyle w:val="Default"/>
        <w:jc w:val="center"/>
        <w:rPr>
          <w:rFonts w:ascii="Times New Roman" w:hAnsi="Times New Roman" w:cs="Times New Roman"/>
          <w:sz w:val="40"/>
          <w:szCs w:val="40"/>
        </w:rPr>
      </w:pPr>
    </w:p>
    <w:p w:rsidR="001F766A" w:rsidRPr="001D15D4" w:rsidRDefault="001F766A" w:rsidP="001F766A">
      <w:pPr>
        <w:pStyle w:val="Default"/>
        <w:jc w:val="center"/>
        <w:rPr>
          <w:rFonts w:ascii="Times New Roman" w:hAnsi="Times New Roman" w:cs="Times New Roman"/>
          <w:sz w:val="40"/>
          <w:szCs w:val="40"/>
        </w:rPr>
      </w:pPr>
    </w:p>
    <w:p w:rsidR="001F766A" w:rsidRPr="001D15D4" w:rsidRDefault="001F766A" w:rsidP="001F766A">
      <w:pPr>
        <w:pStyle w:val="Default"/>
        <w:jc w:val="center"/>
        <w:rPr>
          <w:rFonts w:ascii="Times New Roman" w:hAnsi="Times New Roman" w:cs="Times New Roman"/>
          <w:sz w:val="40"/>
          <w:szCs w:val="40"/>
        </w:rPr>
      </w:pPr>
    </w:p>
    <w:p w:rsidR="001F766A" w:rsidRPr="001D15D4" w:rsidRDefault="001F766A" w:rsidP="001F766A">
      <w:pPr>
        <w:pStyle w:val="Default"/>
        <w:jc w:val="center"/>
        <w:rPr>
          <w:rFonts w:ascii="Times New Roman" w:hAnsi="Times New Roman" w:cs="Times New Roman"/>
          <w:sz w:val="40"/>
          <w:szCs w:val="40"/>
        </w:rPr>
      </w:pPr>
    </w:p>
    <w:p w:rsidR="003905A4" w:rsidRPr="001D15D4" w:rsidRDefault="003905A4" w:rsidP="003905A4">
      <w:pPr>
        <w:pStyle w:val="Default"/>
        <w:jc w:val="center"/>
        <w:rPr>
          <w:rFonts w:ascii="Times New Roman" w:hAnsi="Times New Roman" w:cs="Times New Roman"/>
          <w:sz w:val="40"/>
          <w:szCs w:val="40"/>
        </w:rPr>
      </w:pPr>
      <w:r w:rsidRPr="001D15D4">
        <w:rPr>
          <w:rFonts w:ascii="Times New Roman" w:hAnsi="Times New Roman" w:cs="Times New Roman"/>
          <w:sz w:val="40"/>
          <w:szCs w:val="40"/>
        </w:rPr>
        <w:t>Company Evaluated: Adimmune Corporation</w:t>
      </w:r>
    </w:p>
    <w:p w:rsidR="00A938D0" w:rsidRPr="001D15D4" w:rsidRDefault="003905A4" w:rsidP="003905A4">
      <w:pPr>
        <w:pStyle w:val="Default"/>
        <w:jc w:val="center"/>
        <w:rPr>
          <w:rFonts w:ascii="Times New Roman" w:hAnsi="Times New Roman" w:cs="Times New Roman"/>
          <w:color w:val="auto"/>
        </w:rPr>
      </w:pPr>
      <w:r w:rsidRPr="001D15D4">
        <w:rPr>
          <w:rFonts w:ascii="Times New Roman" w:hAnsi="Times New Roman" w:cs="Times New Roman"/>
          <w:sz w:val="40"/>
          <w:szCs w:val="40"/>
        </w:rPr>
        <w:t>Report Date: November 25, 2025</w:t>
      </w:r>
    </w:p>
    <w:p w:rsidR="00A938D0" w:rsidRPr="001D15D4" w:rsidRDefault="003905A4" w:rsidP="001F766A">
      <w:pPr>
        <w:pStyle w:val="Default"/>
        <w:pageBreakBefore/>
        <w:jc w:val="center"/>
        <w:rPr>
          <w:rFonts w:ascii="Times New Roman" w:hAnsi="Times New Roman" w:cs="Times New Roman"/>
          <w:b/>
          <w:color w:val="auto"/>
          <w:sz w:val="40"/>
          <w:szCs w:val="40"/>
        </w:rPr>
      </w:pPr>
      <w:r w:rsidRPr="001D15D4">
        <w:rPr>
          <w:rFonts w:ascii="Times New Roman" w:hAnsi="Times New Roman" w:cs="Times New Roman"/>
          <w:b/>
          <w:color w:val="auto"/>
          <w:sz w:val="40"/>
          <w:szCs w:val="40"/>
        </w:rPr>
        <w:lastRenderedPageBreak/>
        <w:t>Table of Contents</w:t>
      </w:r>
    </w:p>
    <w:p w:rsidR="003905A4" w:rsidRPr="001D15D4" w:rsidRDefault="003905A4" w:rsidP="003905A4">
      <w:pPr>
        <w:pStyle w:val="Default"/>
        <w:rPr>
          <w:rFonts w:ascii="Times New Roman" w:hAnsi="Times New Roman" w:cs="Times New Roman"/>
          <w:color w:val="auto"/>
          <w:sz w:val="32"/>
          <w:szCs w:val="32"/>
        </w:rPr>
      </w:pPr>
      <w:r w:rsidRPr="001D15D4">
        <w:rPr>
          <w:rFonts w:ascii="Times New Roman" w:hAnsi="Times New Roman" w:cs="Times New Roman"/>
          <w:color w:val="auto"/>
          <w:sz w:val="32"/>
          <w:szCs w:val="32"/>
        </w:rPr>
        <w:t>I. Introduction .................................</w:t>
      </w:r>
      <w:r w:rsidR="001C467A" w:rsidRPr="001D15D4">
        <w:rPr>
          <w:rFonts w:ascii="Times New Roman" w:hAnsi="Times New Roman" w:cs="Times New Roman"/>
          <w:color w:val="auto"/>
          <w:sz w:val="32"/>
          <w:szCs w:val="32"/>
        </w:rPr>
        <w:t>.............................</w:t>
      </w:r>
      <w:r w:rsidRPr="001D15D4">
        <w:rPr>
          <w:rFonts w:ascii="Times New Roman" w:hAnsi="Times New Roman" w:cs="Times New Roman"/>
          <w:color w:val="auto"/>
          <w:sz w:val="32"/>
          <w:szCs w:val="32"/>
        </w:rPr>
        <w:t>....... 3</w:t>
      </w:r>
    </w:p>
    <w:p w:rsidR="003905A4" w:rsidRPr="001D15D4" w:rsidRDefault="003905A4" w:rsidP="003905A4">
      <w:pPr>
        <w:pStyle w:val="Default"/>
        <w:rPr>
          <w:rFonts w:ascii="Times New Roman" w:hAnsi="Times New Roman" w:cs="Times New Roman"/>
          <w:color w:val="auto"/>
          <w:sz w:val="32"/>
          <w:szCs w:val="32"/>
        </w:rPr>
      </w:pPr>
      <w:r w:rsidRPr="001D15D4">
        <w:rPr>
          <w:rFonts w:ascii="Times New Roman" w:hAnsi="Times New Roman" w:cs="Times New Roman"/>
          <w:color w:val="auto"/>
          <w:sz w:val="32"/>
          <w:szCs w:val="32"/>
        </w:rPr>
        <w:t>II. Company Overview and Governance Highlights .......... 5</w:t>
      </w:r>
    </w:p>
    <w:p w:rsidR="003905A4" w:rsidRPr="001D15D4" w:rsidRDefault="003905A4" w:rsidP="003905A4">
      <w:pPr>
        <w:pStyle w:val="Default"/>
        <w:rPr>
          <w:rFonts w:ascii="Times New Roman" w:hAnsi="Times New Roman" w:cs="Times New Roman"/>
          <w:color w:val="auto"/>
          <w:sz w:val="32"/>
          <w:szCs w:val="32"/>
        </w:rPr>
      </w:pPr>
      <w:r w:rsidRPr="001D15D4">
        <w:rPr>
          <w:rFonts w:ascii="Times New Roman" w:hAnsi="Times New Roman" w:cs="Times New Roman"/>
          <w:color w:val="auto"/>
          <w:sz w:val="32"/>
          <w:szCs w:val="32"/>
        </w:rPr>
        <w:t xml:space="preserve">III. Evaluation </w:t>
      </w:r>
      <w:proofErr w:type="gramStart"/>
      <w:r w:rsidRPr="001D15D4">
        <w:rPr>
          <w:rFonts w:ascii="Times New Roman" w:hAnsi="Times New Roman" w:cs="Times New Roman"/>
          <w:color w:val="auto"/>
          <w:sz w:val="32"/>
          <w:szCs w:val="32"/>
        </w:rPr>
        <w:t>Recommendations .........</w:t>
      </w:r>
      <w:r w:rsidR="001C467A" w:rsidRPr="001D15D4">
        <w:rPr>
          <w:rFonts w:ascii="Times New Roman" w:hAnsi="Times New Roman" w:cs="Times New Roman"/>
          <w:color w:val="auto"/>
          <w:sz w:val="32"/>
          <w:szCs w:val="32"/>
        </w:rPr>
        <w:t>............</w:t>
      </w:r>
      <w:r w:rsidR="009D0528" w:rsidRPr="001D15D4">
        <w:rPr>
          <w:rFonts w:ascii="Times New Roman" w:hAnsi="Times New Roman" w:cs="Times New Roman"/>
          <w:color w:val="auto"/>
          <w:sz w:val="32"/>
          <w:szCs w:val="32"/>
        </w:rPr>
        <w:t>.................</w:t>
      </w:r>
      <w:proofErr w:type="gramEnd"/>
      <w:r w:rsidR="009D0528" w:rsidRPr="001D15D4">
        <w:rPr>
          <w:rFonts w:ascii="Times New Roman" w:hAnsi="Times New Roman" w:cs="Times New Roman"/>
          <w:color w:val="auto"/>
          <w:sz w:val="32"/>
          <w:szCs w:val="32"/>
        </w:rPr>
        <w:t xml:space="preserve"> </w:t>
      </w:r>
      <w:r w:rsidR="009D0528" w:rsidRPr="001D15D4">
        <w:rPr>
          <w:rFonts w:ascii="Times New Roman" w:hAnsi="Times New Roman" w:cs="Times New Roman" w:hint="eastAsia"/>
          <w:color w:val="auto"/>
          <w:sz w:val="32"/>
          <w:szCs w:val="32"/>
        </w:rPr>
        <w:t>8</w:t>
      </w:r>
    </w:p>
    <w:p w:rsidR="003905A4" w:rsidRPr="001D15D4" w:rsidRDefault="003905A4" w:rsidP="003905A4">
      <w:pPr>
        <w:pStyle w:val="Default"/>
        <w:rPr>
          <w:rFonts w:ascii="Times New Roman" w:hAnsi="Times New Roman" w:cs="Times New Roman"/>
          <w:color w:val="auto"/>
          <w:sz w:val="32"/>
          <w:szCs w:val="32"/>
        </w:rPr>
      </w:pPr>
      <w:r w:rsidRPr="001D15D4">
        <w:rPr>
          <w:rFonts w:ascii="Times New Roman" w:hAnsi="Times New Roman" w:cs="Times New Roman"/>
          <w:color w:val="auto"/>
          <w:sz w:val="32"/>
          <w:szCs w:val="32"/>
        </w:rPr>
        <w:t>IV. Appendices ...................</w:t>
      </w:r>
      <w:r w:rsidR="001C467A" w:rsidRPr="001D15D4">
        <w:rPr>
          <w:rFonts w:ascii="Times New Roman" w:hAnsi="Times New Roman" w:cs="Times New Roman"/>
          <w:color w:val="auto"/>
          <w:sz w:val="32"/>
          <w:szCs w:val="32"/>
        </w:rPr>
        <w:t>........................</w:t>
      </w:r>
      <w:r w:rsidR="009D0528" w:rsidRPr="001D15D4">
        <w:rPr>
          <w:rFonts w:ascii="Times New Roman" w:hAnsi="Times New Roman" w:cs="Times New Roman"/>
          <w:color w:val="auto"/>
          <w:sz w:val="32"/>
          <w:szCs w:val="32"/>
        </w:rPr>
        <w:t xml:space="preserve">........................ </w:t>
      </w:r>
      <w:r w:rsidR="009D0528" w:rsidRPr="001D15D4">
        <w:rPr>
          <w:rFonts w:ascii="Times New Roman" w:hAnsi="Times New Roman" w:cs="Times New Roman" w:hint="eastAsia"/>
          <w:color w:val="auto"/>
          <w:sz w:val="32"/>
          <w:szCs w:val="32"/>
        </w:rPr>
        <w:t>10</w:t>
      </w:r>
    </w:p>
    <w:p w:rsidR="003905A4" w:rsidRPr="001D15D4" w:rsidRDefault="003905A4" w:rsidP="003905A4">
      <w:pPr>
        <w:pStyle w:val="Default"/>
        <w:ind w:leftChars="200" w:left="480"/>
        <w:rPr>
          <w:rFonts w:ascii="Times New Roman" w:hAnsi="Times New Roman" w:cs="Times New Roman"/>
          <w:color w:val="auto"/>
          <w:sz w:val="32"/>
          <w:szCs w:val="32"/>
        </w:rPr>
      </w:pPr>
      <w:r w:rsidRPr="001D15D4">
        <w:rPr>
          <w:rFonts w:ascii="Times New Roman" w:hAnsi="Times New Roman" w:cs="Times New Roman"/>
          <w:color w:val="auto"/>
          <w:sz w:val="32"/>
          <w:szCs w:val="32"/>
        </w:rPr>
        <w:t>(1)</w:t>
      </w:r>
      <w:r w:rsidR="005B293F" w:rsidRPr="001D15D4">
        <w:rPr>
          <w:rFonts w:ascii="Times New Roman" w:hAnsi="Times New Roman" w:cs="Times New Roman"/>
        </w:rPr>
        <w:t xml:space="preserve"> </w:t>
      </w:r>
      <w:r w:rsidR="005B293F" w:rsidRPr="001D15D4">
        <w:rPr>
          <w:rFonts w:ascii="Times New Roman" w:hAnsi="Times New Roman" w:cs="Times New Roman"/>
          <w:color w:val="auto"/>
          <w:sz w:val="32"/>
          <w:szCs w:val="32"/>
        </w:rPr>
        <w:t>Overview of the Five Key Evaluation Dimensions</w:t>
      </w:r>
    </w:p>
    <w:p w:rsidR="003905A4" w:rsidRPr="001D15D4" w:rsidRDefault="003905A4" w:rsidP="003905A4">
      <w:pPr>
        <w:pStyle w:val="Default"/>
        <w:ind w:leftChars="200" w:left="480"/>
        <w:rPr>
          <w:rFonts w:ascii="Times New Roman" w:hAnsi="Times New Roman" w:cs="Times New Roman"/>
          <w:color w:val="auto"/>
          <w:sz w:val="32"/>
          <w:szCs w:val="32"/>
        </w:rPr>
      </w:pPr>
      <w:r w:rsidRPr="001D15D4">
        <w:rPr>
          <w:rFonts w:ascii="Times New Roman" w:hAnsi="Times New Roman" w:cs="Times New Roman"/>
          <w:color w:val="auto"/>
          <w:sz w:val="32"/>
          <w:szCs w:val="32"/>
        </w:rPr>
        <w:t xml:space="preserve">(2) Evaluation </w:t>
      </w:r>
      <w:r w:rsidR="005B293F" w:rsidRPr="001D15D4">
        <w:rPr>
          <w:rFonts w:ascii="Times New Roman" w:hAnsi="Times New Roman" w:cs="Times New Roman"/>
          <w:color w:val="auto"/>
          <w:sz w:val="32"/>
          <w:szCs w:val="32"/>
        </w:rPr>
        <w:t>Process</w:t>
      </w:r>
    </w:p>
    <w:p w:rsidR="003905A4" w:rsidRPr="001D15D4" w:rsidRDefault="003905A4" w:rsidP="003905A4">
      <w:pPr>
        <w:pStyle w:val="Default"/>
        <w:ind w:leftChars="200" w:left="480"/>
        <w:rPr>
          <w:rFonts w:ascii="Times New Roman" w:hAnsi="Times New Roman" w:cs="Times New Roman"/>
          <w:color w:val="auto"/>
          <w:sz w:val="32"/>
          <w:szCs w:val="32"/>
        </w:rPr>
      </w:pPr>
      <w:r w:rsidRPr="001D15D4">
        <w:rPr>
          <w:rFonts w:ascii="Times New Roman" w:hAnsi="Times New Roman" w:cs="Times New Roman"/>
          <w:color w:val="auto"/>
          <w:sz w:val="32"/>
          <w:szCs w:val="32"/>
        </w:rPr>
        <w:t>(3) Independence Statement</w:t>
      </w:r>
    </w:p>
    <w:p w:rsidR="00A938D0" w:rsidRPr="001D15D4" w:rsidRDefault="00A938D0" w:rsidP="00A938D0">
      <w:pPr>
        <w:pStyle w:val="Default"/>
        <w:rPr>
          <w:rFonts w:ascii="Times New Roman" w:hAnsi="Times New Roman" w:cs="Times New Roman"/>
          <w:color w:val="auto"/>
          <w:sz w:val="20"/>
          <w:szCs w:val="20"/>
        </w:rPr>
      </w:pPr>
    </w:p>
    <w:p w:rsidR="00A938D0" w:rsidRPr="001D15D4" w:rsidRDefault="00A938D0" w:rsidP="00A938D0">
      <w:pPr>
        <w:pStyle w:val="Default"/>
        <w:rPr>
          <w:rFonts w:ascii="Times New Roman" w:hAnsi="Times New Roman" w:cs="Times New Roman"/>
          <w:color w:val="auto"/>
        </w:rPr>
      </w:pPr>
    </w:p>
    <w:p w:rsidR="003905A4" w:rsidRPr="001D15D4" w:rsidRDefault="003905A4">
      <w:pPr>
        <w:widowControl/>
        <w:rPr>
          <w:rFonts w:ascii="Times New Roman" w:eastAsia="標楷體" w:hAnsi="Times New Roman" w:cs="Times New Roman"/>
          <w:kern w:val="0"/>
          <w:sz w:val="32"/>
          <w:szCs w:val="32"/>
        </w:rPr>
      </w:pPr>
      <w:r w:rsidRPr="001D15D4">
        <w:rPr>
          <w:rFonts w:ascii="Times New Roman" w:hAnsi="Times New Roman" w:cs="Times New Roman"/>
          <w:sz w:val="32"/>
          <w:szCs w:val="32"/>
        </w:rPr>
        <w:br w:type="page"/>
      </w:r>
    </w:p>
    <w:p w:rsidR="003905A4" w:rsidRPr="001D15D4" w:rsidRDefault="003905A4" w:rsidP="003905A4">
      <w:pPr>
        <w:pStyle w:val="Default"/>
        <w:rPr>
          <w:rFonts w:ascii="Times New Roman" w:hAnsi="Times New Roman" w:cs="Times New Roman"/>
          <w:color w:val="auto"/>
          <w:sz w:val="32"/>
          <w:szCs w:val="32"/>
        </w:rPr>
      </w:pPr>
      <w:r w:rsidRPr="001D15D4">
        <w:rPr>
          <w:rFonts w:ascii="Times New Roman" w:hAnsi="Times New Roman" w:cs="Times New Roman"/>
          <w:color w:val="auto"/>
          <w:sz w:val="32"/>
          <w:szCs w:val="32"/>
        </w:rPr>
        <w:lastRenderedPageBreak/>
        <w:t>I. Introduction</w:t>
      </w:r>
    </w:p>
    <w:p w:rsidR="003905A4" w:rsidRPr="001D15D4" w:rsidRDefault="003905A4"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 xml:space="preserve">The G20/OECD Principles of Corporate Governance, published by the </w:t>
      </w:r>
      <w:proofErr w:type="spellStart"/>
      <w:r w:rsidRPr="001D15D4">
        <w:rPr>
          <w:rFonts w:ascii="Times New Roman" w:hAnsi="Times New Roman" w:cs="Times New Roman"/>
          <w:color w:val="auto"/>
          <w:sz w:val="28"/>
          <w:szCs w:val="32"/>
        </w:rPr>
        <w:t>Organisation</w:t>
      </w:r>
      <w:proofErr w:type="spellEnd"/>
      <w:r w:rsidRPr="001D15D4">
        <w:rPr>
          <w:rFonts w:ascii="Times New Roman" w:hAnsi="Times New Roman" w:cs="Times New Roman"/>
          <w:color w:val="auto"/>
          <w:sz w:val="28"/>
          <w:szCs w:val="32"/>
        </w:rPr>
        <w:t xml:space="preserve"> for Economic Co-operation and Development (OECD) in 2023, emphasize that a corporate governance framework should ensure the strategic guidance of the company, the effective oversight of management by the board of directors, and the board’s accountability to the company and its shareholders. A sound corporate governance mechanism constitutes a cornerstone of sustainable corporate development and organizational resilience.</w:t>
      </w:r>
    </w:p>
    <w:p w:rsidR="003905A4" w:rsidRPr="001D15D4" w:rsidRDefault="003905A4"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Corporate governance centers on the board of directors. Whether the board is able to operate effectively in alignment with the company’s vision and objectives, and to meaningfully perform its guidance and supervisory functions over management, depends on the board’s professional composition, clear allocation of responsibilities, effective leadership by the chairperson, and the integrity, diligence, collaboration, and continuous learning of all board members. Board members should act in good faith, with due care and loyalty, on the basis of adequate information, and in the best interests of the company and its shareholders, while also taking into consideration the rights and interests of stakeholders.</w:t>
      </w:r>
    </w:p>
    <w:p w:rsidR="003905A4" w:rsidRPr="001D15D4" w:rsidRDefault="003905A4"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 xml:space="preserve">The </w:t>
      </w:r>
      <w:r w:rsidR="0006283C" w:rsidRPr="001D15D4">
        <w:rPr>
          <w:rFonts w:ascii="Times New Roman" w:hAnsi="Times New Roman" w:cs="Times New Roman"/>
          <w:color w:val="auto"/>
          <w:sz w:val="28"/>
          <w:szCs w:val="32"/>
        </w:rPr>
        <w:t>Taiwan</w:t>
      </w:r>
      <w:r w:rsidRPr="001D15D4">
        <w:rPr>
          <w:rFonts w:ascii="Times New Roman" w:hAnsi="Times New Roman" w:cs="Times New Roman"/>
          <w:color w:val="auto"/>
          <w:sz w:val="28"/>
          <w:szCs w:val="32"/>
        </w:rPr>
        <w:t xml:space="preserve"> Corporate Governance Association (hereinafter referred to as the “Association”) is a professional and independent institution specializing in corporate governance system assessments, evaluations, and board performance evaluations. Since 2005, the Association has introduced corporate governance assessment and evaluation services by referencing the OECD Principles of Corporate Governance while taking into account Taiwan’s corporate governance ecosystem, including its regulatory environment, social context, and industrial characteristics. In 2016, the Association became the first in the market to launch third-party board performance evaluation services. To date, it has provided services to more than 600 engagements involving public utilities, TWSE- and </w:t>
      </w:r>
      <w:proofErr w:type="spellStart"/>
      <w:r w:rsidRPr="001D15D4">
        <w:rPr>
          <w:rFonts w:ascii="Times New Roman" w:hAnsi="Times New Roman" w:cs="Times New Roman"/>
          <w:color w:val="auto"/>
          <w:sz w:val="28"/>
          <w:szCs w:val="32"/>
        </w:rPr>
        <w:t>TPEx</w:t>
      </w:r>
      <w:proofErr w:type="spellEnd"/>
      <w:r w:rsidRPr="001D15D4">
        <w:rPr>
          <w:rFonts w:ascii="Times New Roman" w:hAnsi="Times New Roman" w:cs="Times New Roman"/>
          <w:color w:val="auto"/>
          <w:sz w:val="28"/>
          <w:szCs w:val="32"/>
        </w:rPr>
        <w:t>-listed companies, public companies, and private enterprises.</w:t>
      </w:r>
    </w:p>
    <w:p w:rsidR="003905A4" w:rsidRPr="001D15D4" w:rsidRDefault="003905A4"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 xml:space="preserve">Regular review and continuous enhancement of board performance serve the long-term interests of the company and are key drivers for achieving sustainable operations. Periodic evaluation of board performance not only clarifies the roles and functional effectiveness of individual directors, functional committees, and the board as a whole, but also assesses </w:t>
      </w:r>
      <w:r w:rsidRPr="001D15D4">
        <w:rPr>
          <w:rFonts w:ascii="Times New Roman" w:hAnsi="Times New Roman" w:cs="Times New Roman"/>
          <w:color w:val="auto"/>
          <w:sz w:val="28"/>
          <w:szCs w:val="32"/>
        </w:rPr>
        <w:lastRenderedPageBreak/>
        <w:t>whether the board, at different stages of corporate development, appropriately focuses on key governance and operational issues, allocates adequate resources, and proactively addresses matters related to corporate growth and sustainability in an appropriate manner.</w:t>
      </w:r>
    </w:p>
    <w:p w:rsidR="003905A4" w:rsidRPr="001D15D4" w:rsidRDefault="003905A4"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In addition to annual internal self-evaluations of board performance, regular external board performance evaluations assist boards in identifying opportunities for further improvement and demonstrate to stakeholders the company’s commitment to accountability, high ethical standards, and continuous improvement. The Association’s board performance evaluation services are conducted by an independent and professional external team. Based on each company’s development stage, the evaluation is carried out through documentary reviews of board operations and on-site interactions with board members. This process supports companies in periodically examining the effectiveness of board functions and jointly identifying opportunities for board enhancement that best reflect the company’s culture and characteristics while aligning with its phased development objectives.</w:t>
      </w:r>
    </w:p>
    <w:p w:rsidR="003905A4" w:rsidRPr="001D15D4" w:rsidRDefault="003905A4"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The Association defines the scope of the current “Board Performance Evaluation Services” as encompassing the following five key dimensions (see Section IV, Appendix (1) for details):</w:t>
      </w:r>
    </w:p>
    <w:p w:rsidR="003905A4" w:rsidRPr="001D15D4" w:rsidRDefault="001C467A"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 xml:space="preserve">1. </w:t>
      </w:r>
      <w:r w:rsidR="003905A4" w:rsidRPr="001D15D4">
        <w:rPr>
          <w:rFonts w:ascii="Times New Roman" w:hAnsi="Times New Roman" w:cs="Times New Roman"/>
          <w:color w:val="auto"/>
          <w:sz w:val="28"/>
          <w:szCs w:val="32"/>
        </w:rPr>
        <w:t>Board composition and division of responsibilities.</w:t>
      </w:r>
    </w:p>
    <w:p w:rsidR="003905A4" w:rsidRPr="001D15D4" w:rsidRDefault="001C467A"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 xml:space="preserve">2. </w:t>
      </w:r>
      <w:r w:rsidR="003905A4" w:rsidRPr="001D15D4">
        <w:rPr>
          <w:rFonts w:ascii="Times New Roman" w:hAnsi="Times New Roman" w:cs="Times New Roman"/>
          <w:color w:val="auto"/>
          <w:sz w:val="28"/>
          <w:szCs w:val="32"/>
        </w:rPr>
        <w:t>Board guidance and oversight.</w:t>
      </w:r>
    </w:p>
    <w:p w:rsidR="003905A4" w:rsidRPr="001D15D4" w:rsidRDefault="001C467A"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 xml:space="preserve">3. </w:t>
      </w:r>
      <w:r w:rsidR="003905A4" w:rsidRPr="001D15D4">
        <w:rPr>
          <w:rFonts w:ascii="Times New Roman" w:hAnsi="Times New Roman" w:cs="Times New Roman"/>
          <w:color w:val="auto"/>
          <w:sz w:val="28"/>
          <w:szCs w:val="32"/>
        </w:rPr>
        <w:t>Board authorization and risk management.</w:t>
      </w:r>
    </w:p>
    <w:p w:rsidR="003905A4" w:rsidRPr="001D15D4" w:rsidRDefault="001C467A"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 xml:space="preserve">4. </w:t>
      </w:r>
      <w:r w:rsidR="003905A4" w:rsidRPr="001D15D4">
        <w:rPr>
          <w:rFonts w:ascii="Times New Roman" w:hAnsi="Times New Roman" w:cs="Times New Roman"/>
          <w:color w:val="auto"/>
          <w:sz w:val="28"/>
          <w:szCs w:val="32"/>
        </w:rPr>
        <w:t>Board communication and collaboration.</w:t>
      </w:r>
    </w:p>
    <w:p w:rsidR="003905A4" w:rsidRPr="001D15D4" w:rsidRDefault="001C467A" w:rsidP="003905A4">
      <w:pPr>
        <w:pStyle w:val="Default"/>
        <w:rPr>
          <w:rFonts w:ascii="Times New Roman" w:hAnsi="Times New Roman" w:cs="Times New Roman"/>
          <w:color w:val="auto"/>
          <w:sz w:val="28"/>
          <w:szCs w:val="32"/>
        </w:rPr>
      </w:pPr>
      <w:r w:rsidRPr="001D15D4">
        <w:rPr>
          <w:rFonts w:ascii="Times New Roman" w:hAnsi="Times New Roman" w:cs="Times New Roman"/>
          <w:color w:val="auto"/>
          <w:sz w:val="28"/>
          <w:szCs w:val="32"/>
        </w:rPr>
        <w:t xml:space="preserve">5. </w:t>
      </w:r>
      <w:r w:rsidR="003905A4" w:rsidRPr="001D15D4">
        <w:rPr>
          <w:rFonts w:ascii="Times New Roman" w:hAnsi="Times New Roman" w:cs="Times New Roman"/>
          <w:color w:val="auto"/>
          <w:sz w:val="28"/>
          <w:szCs w:val="32"/>
        </w:rPr>
        <w:t>Board self-discipline and continuous improvement.</w:t>
      </w:r>
    </w:p>
    <w:p w:rsidR="003905A4" w:rsidRPr="001D15D4" w:rsidRDefault="003905A4">
      <w:pPr>
        <w:widowControl/>
        <w:rPr>
          <w:rFonts w:ascii="Times New Roman" w:eastAsia="標楷體" w:hAnsi="Times New Roman" w:cs="Times New Roman"/>
          <w:kern w:val="0"/>
          <w:sz w:val="32"/>
          <w:szCs w:val="32"/>
        </w:rPr>
      </w:pPr>
      <w:r w:rsidRPr="001D15D4">
        <w:rPr>
          <w:rFonts w:ascii="Times New Roman" w:hAnsi="Times New Roman" w:cs="Times New Roman"/>
          <w:sz w:val="32"/>
          <w:szCs w:val="32"/>
        </w:rPr>
        <w:br w:type="page"/>
      </w:r>
    </w:p>
    <w:p w:rsidR="003905A4" w:rsidRPr="001D15D4" w:rsidRDefault="003905A4" w:rsidP="003905A4">
      <w:pPr>
        <w:pStyle w:val="Default"/>
        <w:rPr>
          <w:rFonts w:ascii="Times New Roman" w:hAnsi="Times New Roman" w:cs="Times New Roman"/>
          <w:color w:val="auto"/>
          <w:sz w:val="32"/>
        </w:rPr>
      </w:pPr>
      <w:r w:rsidRPr="001D15D4">
        <w:rPr>
          <w:rFonts w:ascii="Times New Roman" w:hAnsi="Times New Roman" w:cs="Times New Roman"/>
          <w:color w:val="auto"/>
          <w:sz w:val="32"/>
        </w:rPr>
        <w:lastRenderedPageBreak/>
        <w:t>II. Company Overview and Governance Highlights</w:t>
      </w:r>
    </w:p>
    <w:p w:rsidR="003905A4" w:rsidRPr="001D15D4" w:rsidRDefault="005B293F" w:rsidP="003905A4">
      <w:pPr>
        <w:pStyle w:val="Default"/>
        <w:rPr>
          <w:rFonts w:ascii="Times New Roman" w:hAnsi="Times New Roman" w:cs="Times New Roman"/>
          <w:color w:val="auto"/>
          <w:sz w:val="28"/>
        </w:rPr>
      </w:pPr>
      <w:proofErr w:type="spellStart"/>
      <w:r w:rsidRPr="001D15D4">
        <w:rPr>
          <w:rFonts w:ascii="Times New Roman" w:hAnsi="Times New Roman" w:cs="Times New Roman"/>
          <w:color w:val="auto"/>
          <w:sz w:val="28"/>
        </w:rPr>
        <w:t>Kuo</w:t>
      </w:r>
      <w:proofErr w:type="spellEnd"/>
      <w:r w:rsidRPr="001D15D4">
        <w:rPr>
          <w:rFonts w:ascii="Times New Roman" w:hAnsi="Times New Roman" w:cs="Times New Roman"/>
          <w:color w:val="auto"/>
          <w:sz w:val="28"/>
        </w:rPr>
        <w:t xml:space="preserve"> </w:t>
      </w:r>
      <w:proofErr w:type="spellStart"/>
      <w:r w:rsidRPr="001D15D4">
        <w:rPr>
          <w:rFonts w:ascii="Times New Roman" w:hAnsi="Times New Roman" w:cs="Times New Roman"/>
          <w:color w:val="auto"/>
          <w:sz w:val="28"/>
        </w:rPr>
        <w:t>Kwang</w:t>
      </w:r>
      <w:proofErr w:type="spellEnd"/>
      <w:r w:rsidRPr="001D15D4">
        <w:rPr>
          <w:rFonts w:ascii="Times New Roman" w:hAnsi="Times New Roman" w:cs="Times New Roman"/>
          <w:color w:val="auto"/>
          <w:sz w:val="28"/>
        </w:rPr>
        <w:t xml:space="preserve"> Serum and Vaccine Manufacture Co., Ltd.</w:t>
      </w:r>
      <w:r w:rsidR="003905A4" w:rsidRPr="001D15D4">
        <w:rPr>
          <w:rFonts w:ascii="Times New Roman" w:hAnsi="Times New Roman" w:cs="Times New Roman"/>
          <w:color w:val="auto"/>
          <w:sz w:val="28"/>
        </w:rPr>
        <w:t xml:space="preserve"> </w:t>
      </w:r>
      <w:proofErr w:type="gramStart"/>
      <w:r w:rsidR="003905A4" w:rsidRPr="001D15D4">
        <w:rPr>
          <w:rFonts w:ascii="Times New Roman" w:hAnsi="Times New Roman" w:cs="Times New Roman"/>
          <w:color w:val="auto"/>
          <w:sz w:val="28"/>
        </w:rPr>
        <w:t>was</w:t>
      </w:r>
      <w:proofErr w:type="gramEnd"/>
      <w:r w:rsidR="003905A4" w:rsidRPr="001D15D4">
        <w:rPr>
          <w:rFonts w:ascii="Times New Roman" w:hAnsi="Times New Roman" w:cs="Times New Roman"/>
          <w:color w:val="auto"/>
          <w:sz w:val="28"/>
        </w:rPr>
        <w:t xml:space="preserve"> established in December 1965. In 1991, the </w:t>
      </w:r>
      <w:proofErr w:type="spellStart"/>
      <w:r w:rsidRPr="001D15D4">
        <w:rPr>
          <w:rFonts w:ascii="Times New Roman" w:hAnsi="Times New Roman" w:cs="Times New Roman"/>
          <w:color w:val="auto"/>
          <w:sz w:val="28"/>
        </w:rPr>
        <w:t>Kuo</w:t>
      </w:r>
      <w:proofErr w:type="spellEnd"/>
      <w:r w:rsidRPr="001D15D4">
        <w:rPr>
          <w:rFonts w:ascii="Times New Roman" w:hAnsi="Times New Roman" w:cs="Times New Roman"/>
          <w:color w:val="auto"/>
          <w:sz w:val="28"/>
        </w:rPr>
        <w:t xml:space="preserve"> </w:t>
      </w:r>
      <w:proofErr w:type="spellStart"/>
      <w:r w:rsidRPr="001D15D4">
        <w:rPr>
          <w:rFonts w:ascii="Times New Roman" w:hAnsi="Times New Roman" w:cs="Times New Roman"/>
          <w:color w:val="auto"/>
          <w:sz w:val="28"/>
        </w:rPr>
        <w:t>Kwang</w:t>
      </w:r>
      <w:proofErr w:type="spellEnd"/>
      <w:r w:rsidRPr="001D15D4">
        <w:rPr>
          <w:rFonts w:ascii="Times New Roman" w:hAnsi="Times New Roman" w:cs="Times New Roman"/>
          <w:color w:val="auto"/>
          <w:sz w:val="28"/>
        </w:rPr>
        <w:t xml:space="preserve"> Biotechnology </w:t>
      </w:r>
      <w:proofErr w:type="spellStart"/>
      <w:r w:rsidRPr="001D15D4">
        <w:rPr>
          <w:rFonts w:ascii="Times New Roman" w:hAnsi="Times New Roman" w:cs="Times New Roman"/>
          <w:color w:val="auto"/>
          <w:sz w:val="28"/>
        </w:rPr>
        <w:t>Tanzi</w:t>
      </w:r>
      <w:proofErr w:type="spellEnd"/>
      <w:r w:rsidR="003905A4" w:rsidRPr="001D15D4">
        <w:rPr>
          <w:rFonts w:ascii="Times New Roman" w:hAnsi="Times New Roman" w:cs="Times New Roman"/>
          <w:color w:val="auto"/>
          <w:sz w:val="28"/>
        </w:rPr>
        <w:t xml:space="preserve"> Plant was officially completed, engaging in the manufacturing and sale of human and veterinary vaccines. In 2001, the Company changed its English name to “ADIMMUNE CORPORATION” and introduced a new shareholder group, including the National Development Fund, Executive Yuan; Yao-Hwa Glass Co., Ltd. Management Committee; Bank of Communications of Taiwan; and Nan Ho </w:t>
      </w:r>
      <w:proofErr w:type="spellStart"/>
      <w:r w:rsidR="003905A4" w:rsidRPr="001D15D4">
        <w:rPr>
          <w:rFonts w:ascii="Times New Roman" w:hAnsi="Times New Roman" w:cs="Times New Roman"/>
          <w:color w:val="auto"/>
          <w:sz w:val="28"/>
        </w:rPr>
        <w:t>Hsing</w:t>
      </w:r>
      <w:proofErr w:type="spellEnd"/>
      <w:r w:rsidR="003905A4" w:rsidRPr="001D15D4">
        <w:rPr>
          <w:rFonts w:ascii="Times New Roman" w:hAnsi="Times New Roman" w:cs="Times New Roman"/>
          <w:color w:val="auto"/>
          <w:sz w:val="28"/>
        </w:rPr>
        <w:t xml:space="preserve"> Industrial Co., Ltd.</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 xml:space="preserve">In 2007, the Company announced a cross-border strategic alliance with </w:t>
      </w:r>
      <w:proofErr w:type="spellStart"/>
      <w:r w:rsidRPr="001D15D4">
        <w:rPr>
          <w:rFonts w:ascii="Times New Roman" w:hAnsi="Times New Roman" w:cs="Times New Roman"/>
          <w:color w:val="auto"/>
          <w:sz w:val="28"/>
        </w:rPr>
        <w:t>Crucell</w:t>
      </w:r>
      <w:proofErr w:type="spellEnd"/>
      <w:r w:rsidRPr="001D15D4">
        <w:rPr>
          <w:rFonts w:ascii="Times New Roman" w:hAnsi="Times New Roman" w:cs="Times New Roman"/>
          <w:color w:val="auto"/>
          <w:sz w:val="28"/>
        </w:rPr>
        <w:t xml:space="preserve"> Holland B.V., entering into a licensing agreement for </w:t>
      </w:r>
      <w:proofErr w:type="spellStart"/>
      <w:r w:rsidRPr="001D15D4">
        <w:rPr>
          <w:rFonts w:ascii="Times New Roman" w:hAnsi="Times New Roman" w:cs="Times New Roman"/>
          <w:color w:val="auto"/>
          <w:sz w:val="28"/>
        </w:rPr>
        <w:t>virosome</w:t>
      </w:r>
      <w:proofErr w:type="spellEnd"/>
      <w:r w:rsidRPr="001D15D4">
        <w:rPr>
          <w:rFonts w:ascii="Times New Roman" w:hAnsi="Times New Roman" w:cs="Times New Roman"/>
          <w:color w:val="auto"/>
          <w:sz w:val="28"/>
        </w:rPr>
        <w:t xml:space="preserve"> adjuvant technology. In 2009, the Company established Taiwan’s only human vaccine biologics manufacturing facility compliant with the latest PIC/S GMP standards, and was certified by the Ministry of Economic Affairs as a biotechnology and new pharmaceutical company under the </w:t>
      </w:r>
      <w:r w:rsidR="000B23DF" w:rsidRPr="001D15D4">
        <w:rPr>
          <w:rFonts w:ascii="Times New Roman" w:hAnsi="Times New Roman" w:cs="Times New Roman"/>
          <w:color w:val="auto"/>
          <w:sz w:val="28"/>
        </w:rPr>
        <w:t>Act for the Development of Biotech and Pharmaceutical Industry.</w:t>
      </w:r>
      <w:r w:rsidRPr="001D15D4">
        <w:rPr>
          <w:rFonts w:ascii="Times New Roman" w:hAnsi="Times New Roman" w:cs="Times New Roman"/>
          <w:color w:val="auto"/>
          <w:sz w:val="28"/>
        </w:rPr>
        <w:t xml:space="preserve"> In January 2010, the Company became a public company, was listed on the Emerging Stock Market in September of the same year, and in May 2012 was approved by the Taiwan Stock Exchange Corporation (TWSE) for listing and trading. In the same year, its new pre-filled syringe (PFS) filling line was certified by the Department of Health (now the Ministry of Health and Welfare) as compliant with pharmaceutical CGMP standards.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The Company is a member of the WHO Pandemic Influenza Preparedness (PIP) Framework and is the only vaccine manufacturer in Taiwan to have entered into a contractual arrangement with the World Health Organization. It holds multiple international certifications from the United States and the European Union, and, leveraging diversified technology platforms and strong core competencies, serves as a global partner in disease prevention while safeguarding public health in Taiwan.</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The Company is committed to becoming a leading biologics supplier in the Asia-Pacific region, providing professional fill-and-finish services. It has collaborated with Protein Sciences Corporation (a Sanofi vaccine group company) to successfully commercialize a recombinant protein-based quadrivalent influenza vaccine in the United States. In addition, the Company operates a biologics manufactu</w:t>
      </w:r>
      <w:r w:rsidR="00482A68" w:rsidRPr="001D15D4">
        <w:rPr>
          <w:rFonts w:ascii="Times New Roman" w:hAnsi="Times New Roman" w:cs="Times New Roman"/>
          <w:color w:val="auto"/>
          <w:sz w:val="28"/>
        </w:rPr>
        <w:t>ring facility certified under EMA</w:t>
      </w:r>
      <w:r w:rsidRPr="001D15D4">
        <w:rPr>
          <w:rFonts w:ascii="Times New Roman" w:hAnsi="Times New Roman" w:cs="Times New Roman"/>
          <w:color w:val="auto"/>
          <w:sz w:val="28"/>
        </w:rPr>
        <w:t xml:space="preserve"> GMP standards and has partnered with Shenzhen </w:t>
      </w:r>
      <w:proofErr w:type="spellStart"/>
      <w:r w:rsidRPr="001D15D4">
        <w:rPr>
          <w:rFonts w:ascii="Times New Roman" w:hAnsi="Times New Roman" w:cs="Times New Roman"/>
          <w:color w:val="auto"/>
          <w:sz w:val="28"/>
        </w:rPr>
        <w:lastRenderedPageBreak/>
        <w:t>T</w:t>
      </w:r>
      <w:r w:rsidR="00BF2BF2" w:rsidRPr="001D15D4">
        <w:rPr>
          <w:rFonts w:ascii="Times New Roman" w:hAnsi="Times New Roman" w:cs="Times New Roman"/>
          <w:color w:val="auto"/>
          <w:sz w:val="28"/>
        </w:rPr>
        <w:t>echdow</w:t>
      </w:r>
      <w:proofErr w:type="spellEnd"/>
      <w:r w:rsidRPr="001D15D4">
        <w:rPr>
          <w:rFonts w:ascii="Times New Roman" w:hAnsi="Times New Roman" w:cs="Times New Roman"/>
          <w:color w:val="auto"/>
          <w:sz w:val="28"/>
        </w:rPr>
        <w:t xml:space="preserve"> Pharmaceutical Co., Ltd. to market low-molecular-weight enoxaparin sodium in the European market. More recently, the Company has entered into strategic alliances with Becton Dickinson, Sanofi (France), and pharmaceutical companies in South Korea to jointly expand into the international contract manufacturing market and establish a cross-border biologics supply chain. Through market internationalization, diversified technology platforms, and continuous capacity expansion, the Company has steadily improved its operating performance and delivered high-quality products and manufacturing services worldwide.</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At the shareholders’ meeting held in June 2025, the Company completed the re-election of its Board of Directors, electing a total of 12 directors, comprising 3 individual directors, 5 institutional directors, and 4 independent directors. In consideration of gender balance, the current Board includes 3 female directors. Board members possess professional backgrounds and experience spanning pharmaceuticals and biotechnology, public health, biochemistry, finance and accounting, law, business management, and leadership and decision-making. Overall, the composition of the Board aligns with the Company’s operational needs and strategic objectives.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The Board operates in an open and constructive atmosphere. The Chairperson adopts an open leadership style and emphasizes communication. Directors exchange views through functional committees, pre-board and post-board meetings, and informal gatherings, facilitating smooth and effective communication between the Chairperson and Board members. The Chairperson and management team respect the diverse professional expertise of directors and engage in direct communication, thereby enhancing the efficiency and effectiveness of Board decision-making.</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The Board has established a Remuneration Committee, an Audit Committee, and a Risk Management Committee. The Remuneration Committee was established in August 2011, the Audit Committee in June 2017, and the Risk Management Committee in November 2023. During the evaluation period, the Company convened 7 Board meetings, 2 Remuneration Committee meetings, 5 Audit Committee meetings, and 2 Risk Management Committee meetings.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 xml:space="preserve">To strengthen risk responsiveness, the Company has established a risk identification and management framework. In November 2023, it set up a Risk Management Committee composed of at least three directors, of </w:t>
      </w:r>
      <w:r w:rsidRPr="001D15D4">
        <w:rPr>
          <w:rFonts w:ascii="Times New Roman" w:hAnsi="Times New Roman" w:cs="Times New Roman"/>
          <w:color w:val="auto"/>
          <w:sz w:val="28"/>
        </w:rPr>
        <w:lastRenderedPageBreak/>
        <w:t>whom a majority must be independent directors, with an independent director serving as the convener (currently all independent directors serve as committee members). The Committee’s responsibilities include reviewing risk management policies across various risk categories, risk management mechanisms for emerging businesses, early warning and response measures for major risk issues, and other material risk matters as required by the Company or competent authorities. This reflects the Company’s emphasis on enhancing risk management and response capabilities amid rapidly changing domestic and international environments.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To attract and retain talent, motivate employees, and enhance employee engagement and loyalty, the Company has implemented a long-term employee incentive plan. Bonuses and other incentives are allocated to an employee stock ownership trust, which purchases the Company’s common shares. Upon satisfaction of vesting conditions, shares are transferred to individual employee trust accounts, thereby increasing retention incentives for high-performing talent.</w:t>
      </w:r>
    </w:p>
    <w:p w:rsidR="00A938D0"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To enhance Board effectiveness, the Company has adopted the Rules for Board Performance Evaluation, under which annual self-evaluations of the Board, individual directors, and functional committees are conducted, with results reported to the Board. The Rules also require that an external professional independent institution conduct an evaluation at least once every three years. The Company first commissioned an external professional independent institution to conduct a Board performance evaluation in 2023, and 2025 marks the second such external evaluation, demonstrating the Company’s strong commitment to enhancing Board effectiveness.</w:t>
      </w:r>
    </w:p>
    <w:p w:rsidR="003905A4" w:rsidRPr="001D15D4" w:rsidRDefault="003905A4">
      <w:pPr>
        <w:widowControl/>
        <w:rPr>
          <w:rFonts w:ascii="Times New Roman" w:eastAsia="標楷體" w:hAnsi="Times New Roman" w:cs="Times New Roman"/>
          <w:kern w:val="0"/>
          <w:szCs w:val="24"/>
        </w:rPr>
      </w:pPr>
      <w:r w:rsidRPr="001D15D4">
        <w:rPr>
          <w:rFonts w:ascii="Times New Roman" w:hAnsi="Times New Roman" w:cs="Times New Roman"/>
        </w:rPr>
        <w:br w:type="page"/>
      </w:r>
    </w:p>
    <w:p w:rsidR="003905A4" w:rsidRPr="001D15D4" w:rsidRDefault="003905A4" w:rsidP="003905A4">
      <w:pPr>
        <w:pStyle w:val="Default"/>
        <w:rPr>
          <w:rFonts w:ascii="Times New Roman" w:hAnsi="Times New Roman" w:cs="Times New Roman"/>
          <w:color w:val="auto"/>
          <w:sz w:val="32"/>
        </w:rPr>
      </w:pPr>
      <w:r w:rsidRPr="001D15D4">
        <w:rPr>
          <w:rFonts w:ascii="Times New Roman" w:hAnsi="Times New Roman" w:cs="Times New Roman"/>
          <w:color w:val="auto"/>
          <w:sz w:val="32"/>
        </w:rPr>
        <w:lastRenderedPageBreak/>
        <w:t>III. Evaluation Recommendations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Based on the comprehensive assessment conducted by the Association’s on-site evaluation team, the following recommendations are proposed:</w:t>
      </w:r>
    </w:p>
    <w:p w:rsidR="003905A4" w:rsidRPr="001D15D4" w:rsidRDefault="00F918DB" w:rsidP="000E7961">
      <w:pPr>
        <w:pStyle w:val="Default"/>
        <w:rPr>
          <w:rFonts w:ascii="Times New Roman" w:hAnsi="Times New Roman" w:cs="Times New Roman"/>
          <w:color w:val="auto"/>
          <w:sz w:val="28"/>
        </w:rPr>
      </w:pPr>
      <w:r w:rsidRPr="001D15D4">
        <w:rPr>
          <w:rFonts w:ascii="Times New Roman" w:hAnsi="Times New Roman" w:cs="Times New Roman"/>
          <w:color w:val="auto"/>
          <w:sz w:val="28"/>
        </w:rPr>
        <w:t xml:space="preserve">1. </w:t>
      </w:r>
      <w:r w:rsidR="000E7961" w:rsidRPr="001D15D4">
        <w:rPr>
          <w:rFonts w:ascii="Times New Roman" w:hAnsi="Times New Roman" w:cs="Times New Roman"/>
          <w:color w:val="auto"/>
          <w:sz w:val="28"/>
        </w:rPr>
        <w:t>The Company has continued to participate in the TWSE corporate governance evaluation and once again engaged the Association this year to conduct an external board performance evaluation, demonstrating its commitment to strengthening corporate governance and enhancing board accountability. It is recommended that the Company, based on the Financial Supervisory Commission’s Corporate Governance 3.0 -Sustainable Development Roadmap, the corporate governance evaluation indicators, and the recommendations from the external evaluation, assign the responsible corporate governance unit to formulate enhancement plans. The evaluation results and corresponding improvement measures should be reported to the Board of Directors on a regular basis to enable the Board to effectively perform its oversight and guidance functions, thereby continuously improving corporate governance practices and board effectiveness.</w:t>
      </w:r>
    </w:p>
    <w:p w:rsidR="003905A4" w:rsidRPr="001D15D4" w:rsidRDefault="00F918DB"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 xml:space="preserve">2. </w:t>
      </w:r>
      <w:r w:rsidR="000E7961" w:rsidRPr="001D15D4">
        <w:rPr>
          <w:rFonts w:ascii="Times New Roman" w:hAnsi="Times New Roman" w:cs="Times New Roman"/>
          <w:color w:val="auto"/>
          <w:sz w:val="28"/>
        </w:rPr>
        <w:t>As noted in Recommendation 1, the previous external evaluation recommended that the Company review its existing whistleblower mechanism and further strengthen reporting channels (including the establishment of an independent mailbox for independent directors and/or the Audit Committee). This would allow employees, suppliers, and other stakeholders to report relevant matters to independent directors and/or the Audit Committee in a timely manner through an integrated mailbox or telephone channel. It was also recommended that the Company disclose relevant internal regulations and information links on its official website to further enhance the whistleblower mechanism.</w:t>
      </w:r>
    </w:p>
    <w:p w:rsidR="000E7961" w:rsidRPr="001D15D4" w:rsidRDefault="00F918DB" w:rsidP="000E7961">
      <w:pPr>
        <w:pStyle w:val="Default"/>
        <w:rPr>
          <w:rFonts w:ascii="Times New Roman" w:hAnsi="Times New Roman" w:cs="Times New Roman"/>
          <w:color w:val="auto"/>
          <w:sz w:val="28"/>
        </w:rPr>
      </w:pPr>
      <w:r w:rsidRPr="001D15D4">
        <w:rPr>
          <w:rFonts w:ascii="Times New Roman" w:hAnsi="Times New Roman" w:cs="Times New Roman"/>
          <w:color w:val="auto"/>
          <w:sz w:val="28"/>
        </w:rPr>
        <w:t xml:space="preserve">3. </w:t>
      </w:r>
      <w:r w:rsidR="000E7961" w:rsidRPr="001D15D4">
        <w:rPr>
          <w:rFonts w:ascii="Times New Roman" w:hAnsi="Times New Roman" w:cs="Times New Roman"/>
          <w:color w:val="auto"/>
          <w:sz w:val="28"/>
        </w:rPr>
        <w:t xml:space="preserve">As stated in Recommendation 1, the previous external evaluation suggested that the Company first invite independent directors to provide opinions on the setting of work objectives and the performance evaluation of the audit supervisor, for reference by the Chairperson. This approach would more accurately reflect the suitability and effectiveness of the internal audit function, strengthen the Audit Committee’s oversight of internal audit, and formalize the evaluation process through written procedures for ease of compliance. In addition, it was recommended that the Company establish mechanisms for the internal audit personnel and CPA auditors to communicate separately and directly with the Audit </w:t>
      </w:r>
      <w:r w:rsidR="000E7961" w:rsidRPr="001D15D4">
        <w:rPr>
          <w:rFonts w:ascii="Times New Roman" w:hAnsi="Times New Roman" w:cs="Times New Roman"/>
          <w:color w:val="auto"/>
          <w:sz w:val="28"/>
        </w:rPr>
        <w:lastRenderedPageBreak/>
        <w:t>Committee. Such mechanisms would facilitate the Audit Committee’s effective supervision of internal audit activities and ensure smooth and effective communication with the CPA auditors.</w:t>
      </w:r>
      <w:r w:rsidR="003905A4" w:rsidRPr="001D15D4">
        <w:rPr>
          <w:rFonts w:ascii="Times New Roman" w:hAnsi="Times New Roman" w:cs="Times New Roman"/>
          <w:color w:val="auto"/>
          <w:sz w:val="28"/>
        </w:rPr>
        <w:t xml:space="preserve"> </w:t>
      </w:r>
    </w:p>
    <w:p w:rsidR="003905A4" w:rsidRPr="001D15D4" w:rsidRDefault="00F918DB" w:rsidP="000E7961">
      <w:pPr>
        <w:pStyle w:val="Default"/>
        <w:rPr>
          <w:rFonts w:ascii="Times New Roman" w:hAnsi="Times New Roman" w:cs="Times New Roman"/>
          <w:color w:val="auto"/>
          <w:sz w:val="28"/>
        </w:rPr>
      </w:pPr>
      <w:r w:rsidRPr="001D15D4">
        <w:rPr>
          <w:rFonts w:ascii="Times New Roman" w:hAnsi="Times New Roman" w:cs="Times New Roman"/>
          <w:color w:val="auto"/>
          <w:sz w:val="28"/>
        </w:rPr>
        <w:t xml:space="preserve">4. </w:t>
      </w:r>
      <w:r w:rsidR="000E7961" w:rsidRPr="001D15D4">
        <w:rPr>
          <w:rFonts w:ascii="Times New Roman" w:hAnsi="Times New Roman" w:cs="Times New Roman"/>
          <w:color w:val="auto"/>
          <w:sz w:val="28"/>
        </w:rPr>
        <w:t>While the Company provides substantial assistance to newly appointed directors, a formal induction and orientation program for new directors has not yet been established. To enable newly appointed directors to quickly familiarize themselves with the Company and gain a comprehensive understanding of its operations and development, it is recommended that the Company consider formalizing a “New Director Orientation Program.” Such a program may include briefings by designated personnel on the Company’s business operations, industry trends, applicable laws and regulations, directors’ rights and obligations, and continuing education requirements. In addition, on-site visits and interactions with senior management could be arranged to ensure that new directors are able to effectively perform and fulfill their duties upon assuming office.</w:t>
      </w:r>
    </w:p>
    <w:p w:rsidR="00A938D0" w:rsidRPr="001D15D4" w:rsidRDefault="00F918DB" w:rsidP="000E7961">
      <w:pPr>
        <w:pStyle w:val="Default"/>
        <w:rPr>
          <w:rFonts w:ascii="Times New Roman" w:hAnsi="Times New Roman" w:cs="Times New Roman"/>
          <w:color w:val="auto"/>
          <w:sz w:val="28"/>
        </w:rPr>
      </w:pPr>
      <w:r w:rsidRPr="001D15D4">
        <w:rPr>
          <w:rFonts w:ascii="Times New Roman" w:hAnsi="Times New Roman" w:cs="Times New Roman"/>
          <w:color w:val="auto"/>
          <w:sz w:val="28"/>
        </w:rPr>
        <w:t xml:space="preserve">5. </w:t>
      </w:r>
      <w:r w:rsidR="000E7961" w:rsidRPr="001D15D4">
        <w:rPr>
          <w:rFonts w:ascii="Times New Roman" w:hAnsi="Times New Roman" w:cs="Times New Roman"/>
          <w:color w:val="auto"/>
          <w:sz w:val="28"/>
        </w:rPr>
        <w:t>The Company utilizes multiple communication channels (such as telephone, email, instant messaging applications, or on-site visits) to exchange information with directors regarding significant operational matters and events, and has established contingency response mechanisms for emergency situations. However, the current reporting hierarchy does not fully include all Board members, nor is it comprehensively integrated. It is recommended that the Company establish a clear notification mechanism for material contingencies (e.g., procedures for reporting material contingencies to directors), specifying the types of information to be reported, reporting timelines, reporting methods, and reporting levels. This would ensure that all Board members receive timely and complete information on significant Company matters, thereby enabling directors to more effectively fulfill their oversight responsibilities.</w:t>
      </w:r>
    </w:p>
    <w:p w:rsidR="003905A4" w:rsidRPr="001D15D4" w:rsidRDefault="003905A4">
      <w:pPr>
        <w:widowControl/>
        <w:rPr>
          <w:rFonts w:ascii="Times New Roman" w:eastAsia="標楷體" w:hAnsi="Times New Roman" w:cs="Times New Roman"/>
          <w:kern w:val="0"/>
          <w:szCs w:val="24"/>
        </w:rPr>
      </w:pPr>
      <w:r w:rsidRPr="001D15D4">
        <w:rPr>
          <w:rFonts w:ascii="Times New Roman" w:hAnsi="Times New Roman" w:cs="Times New Roman"/>
        </w:rPr>
        <w:br w:type="page"/>
      </w:r>
    </w:p>
    <w:p w:rsidR="003905A4" w:rsidRPr="001D15D4" w:rsidRDefault="003905A4" w:rsidP="003905A4">
      <w:pPr>
        <w:pStyle w:val="Default"/>
        <w:rPr>
          <w:rFonts w:ascii="Times New Roman" w:hAnsi="Times New Roman" w:cs="Times New Roman"/>
          <w:color w:val="auto"/>
          <w:sz w:val="32"/>
        </w:rPr>
      </w:pPr>
      <w:r w:rsidRPr="001D15D4">
        <w:rPr>
          <w:rFonts w:ascii="Times New Roman" w:hAnsi="Times New Roman" w:cs="Times New Roman"/>
          <w:color w:val="auto"/>
          <w:sz w:val="32"/>
        </w:rPr>
        <w:lastRenderedPageBreak/>
        <w:t>IV. Appendices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(1) Overview of the Five Key Evaluation Dimensions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1. Board Composition and Division of Responsibilities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The Board oversees company operations through collective decision-making. Accordingly, Board composition should align with the Company’s operational needs, and the selection, nomination, and election processes should be formal and rigorous. To encourage diverse perspectives, the Board should comprise an appropriate mix of backgrounds and competencies to maximize collective effectiveness.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The Board should periodically review the composition, division of responsibilities, and performance of the Board and functional committees, pursue continuous improvement, and foster an open and inclusive leadership and deliberation culture. Companies committed to sustainable operations should also actively plan for Board succession and development.</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2. Board Guidance and Oversight</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As the center of corporate decision-making, the Board should assess external environments</w:t>
      </w:r>
      <w:r w:rsidR="00DA4327" w:rsidRPr="001D15D4">
        <w:rPr>
          <w:rFonts w:ascii="Times New Roman" w:hAnsi="Times New Roman" w:cs="Times New Roman"/>
          <w:color w:val="auto"/>
          <w:sz w:val="28"/>
        </w:rPr>
        <w:t xml:space="preserve"> and internal strengths</w:t>
      </w:r>
      <w:r w:rsidRPr="001D15D4">
        <w:rPr>
          <w:rFonts w:ascii="Times New Roman" w:hAnsi="Times New Roman" w:cs="Times New Roman"/>
          <w:color w:val="auto"/>
          <w:sz w:val="28"/>
        </w:rPr>
        <w:t xml:space="preserve"> and resources to set and adjust the Company’s vision, objectives, and strategies, and effectively oversee management’s execution of strategies. The Board should guide major strategies and action plans, evaluate and supervise senior management performance, and exercise leadership in achieving corporate objectives.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Oversight of regulatory compliance, executive development and succession, and the realization of ESG vision are also critical to ensuring stable operations and risk mitigation.</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3. Board Authorization and Risk Management</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In fulfilling its key functions, the Board should ensure sufficient resources within the risk management framework to address major risks, such as cybersecurity, tax compliance, supply chain risks, environmental compliance, and geopolitical risks, thereby enhancing resilience and sustainability.</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 xml:space="preserve">The Board identifies key risks, defines risk tolerance, oversees risk management mechanisms, and establishes robust internal control systems to reasonably assure operational outcomes. It also determines which major operational matters require Board approval and which are delegated to the Chairperson and senior management, with periodic </w:t>
      </w:r>
      <w:r w:rsidRPr="001D15D4">
        <w:rPr>
          <w:rFonts w:ascii="Times New Roman" w:hAnsi="Times New Roman" w:cs="Times New Roman"/>
          <w:color w:val="auto"/>
          <w:sz w:val="28"/>
        </w:rPr>
        <w:lastRenderedPageBreak/>
        <w:t>reviews to ensure appropriateness.</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Independent internal auditors, external CPAs, and functional committees assist the Board in ensuring compliance with policies, systems, objectives, and strategies. Through the Remuneration Committee, the Board oversees executive performance evaluations and remuneration structures to incentivize senior management.</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4. Board Communication and Collaboration</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Effective communication is a core Board function. The exercise of guidance, oversight, authorization, and division of responsibilities depends on sound communication mechanisms. Board communication encompasses Board members, management, shareholders, and other stakeholders, and includes attention to communication topics, feedback mechanisms, and Board culture.</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A robust Board support system enhances Board effectiveness, including clear governance roles, agenda planning, information provision, meeting records, follow-up management, new director training, and ongoing director education.</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5. Board Self-Discipline and Continuous Improvement</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The Board’s conduct directly impacts corporate success. High standards of self-discipline, ethical conduct, and leading by example are essential to building trust among stakeholders and fostering a culture of integrity.</w:t>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The Board should regularly evaluate its performance and effectiveness, and directors should pursue continuous learning to deepen their understanding of the industry, management team, and Board functions. Soft skills such as listening, collective decision-making, and conflict resolution should also be continuously refined to maximize positive impact.</w:t>
      </w:r>
    </w:p>
    <w:p w:rsidR="003905A4" w:rsidRPr="001D15D4" w:rsidRDefault="003905A4">
      <w:pPr>
        <w:widowControl/>
        <w:rPr>
          <w:rFonts w:ascii="Times New Roman" w:eastAsia="標楷體" w:hAnsi="Times New Roman" w:cs="Times New Roman"/>
          <w:kern w:val="0"/>
          <w:szCs w:val="24"/>
        </w:rPr>
      </w:pPr>
      <w:r w:rsidRPr="001D15D4">
        <w:rPr>
          <w:rFonts w:ascii="Times New Roman" w:hAnsi="Times New Roman" w:cs="Times New Roman"/>
        </w:rPr>
        <w:br w:type="page"/>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lastRenderedPageBreak/>
        <w:t>(2) Evaluation Process</w:t>
      </w:r>
    </w:p>
    <w:p w:rsidR="003905A4" w:rsidRPr="001D15D4" w:rsidRDefault="003905A4" w:rsidP="003905A4">
      <w:pPr>
        <w:pStyle w:val="Default"/>
        <w:rPr>
          <w:rFonts w:ascii="Times New Roman" w:hAnsi="Times New Roman" w:cs="Times New Roman"/>
          <w:color w:val="auto"/>
          <w:sz w:val="28"/>
        </w:rPr>
      </w:pP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1. Evaluation Timeline</w:t>
      </w:r>
    </w:p>
    <w:tbl>
      <w:tblPr>
        <w:tblStyle w:val="a7"/>
        <w:tblW w:w="0" w:type="auto"/>
        <w:tblLayout w:type="fixed"/>
        <w:tblLook w:val="0000" w:firstRow="0" w:lastRow="0" w:firstColumn="0" w:lastColumn="0" w:noHBand="0" w:noVBand="0"/>
      </w:tblPr>
      <w:tblGrid>
        <w:gridCol w:w="3202"/>
        <w:gridCol w:w="5128"/>
      </w:tblGrid>
      <w:tr w:rsidR="002319FF" w:rsidRPr="001D15D4" w:rsidTr="00086743">
        <w:trPr>
          <w:trHeight w:val="140"/>
        </w:trPr>
        <w:tc>
          <w:tcPr>
            <w:tcW w:w="3202" w:type="dxa"/>
          </w:tcPr>
          <w:p w:rsidR="002319FF" w:rsidRPr="001D15D4" w:rsidRDefault="002319FF" w:rsidP="00086743">
            <w:pPr>
              <w:pStyle w:val="Default"/>
              <w:rPr>
                <w:rFonts w:ascii="Times New Roman" w:hAnsi="Times New Roman" w:cs="Times New Roman"/>
                <w:sz w:val="28"/>
                <w:szCs w:val="28"/>
              </w:rPr>
            </w:pPr>
            <w:r w:rsidRPr="001D15D4">
              <w:rPr>
                <w:rFonts w:ascii="Times New Roman" w:hAnsi="Times New Roman" w:cs="Times New Roman"/>
                <w:color w:val="auto"/>
                <w:sz w:val="28"/>
              </w:rPr>
              <w:t>Date</w:t>
            </w:r>
          </w:p>
        </w:tc>
        <w:tc>
          <w:tcPr>
            <w:tcW w:w="5128" w:type="dxa"/>
          </w:tcPr>
          <w:p w:rsidR="002319FF" w:rsidRPr="001D15D4" w:rsidRDefault="002319FF" w:rsidP="00086743">
            <w:pPr>
              <w:pStyle w:val="Default"/>
              <w:rPr>
                <w:rFonts w:ascii="Times New Roman" w:hAnsi="Times New Roman" w:cs="Times New Roman"/>
                <w:sz w:val="28"/>
                <w:szCs w:val="28"/>
              </w:rPr>
            </w:pPr>
            <w:r w:rsidRPr="001D15D4">
              <w:rPr>
                <w:rFonts w:ascii="Times New Roman" w:hAnsi="Times New Roman" w:cs="Times New Roman"/>
                <w:color w:val="auto"/>
                <w:sz w:val="28"/>
              </w:rPr>
              <w:t>Key Activity</w:t>
            </w:r>
          </w:p>
        </w:tc>
      </w:tr>
      <w:tr w:rsidR="002319FF" w:rsidRPr="001D15D4" w:rsidTr="00086743">
        <w:trPr>
          <w:trHeight w:val="140"/>
        </w:trPr>
        <w:tc>
          <w:tcPr>
            <w:tcW w:w="3202" w:type="dxa"/>
          </w:tcPr>
          <w:p w:rsidR="002319FF" w:rsidRPr="001D15D4" w:rsidRDefault="002319FF" w:rsidP="00086743">
            <w:pPr>
              <w:pStyle w:val="Default"/>
              <w:rPr>
                <w:rFonts w:ascii="Times New Roman" w:hAnsi="Times New Roman" w:cs="Times New Roman"/>
                <w:sz w:val="28"/>
                <w:szCs w:val="28"/>
              </w:rPr>
            </w:pPr>
            <w:r w:rsidRPr="001D15D4">
              <w:rPr>
                <w:rFonts w:ascii="Times New Roman" w:hAnsi="Times New Roman" w:cs="Times New Roman"/>
                <w:color w:val="auto"/>
                <w:sz w:val="28"/>
              </w:rPr>
              <w:t>June 25, 2025</w:t>
            </w:r>
          </w:p>
        </w:tc>
        <w:tc>
          <w:tcPr>
            <w:tcW w:w="5128" w:type="dxa"/>
          </w:tcPr>
          <w:p w:rsidR="002319FF" w:rsidRPr="001D15D4" w:rsidRDefault="002319FF" w:rsidP="002319FF">
            <w:pPr>
              <w:pStyle w:val="Default"/>
              <w:rPr>
                <w:rFonts w:ascii="Times New Roman" w:hAnsi="Times New Roman" w:cs="Times New Roman"/>
                <w:sz w:val="28"/>
                <w:szCs w:val="28"/>
              </w:rPr>
            </w:pPr>
            <w:r w:rsidRPr="001D15D4">
              <w:rPr>
                <w:rFonts w:ascii="Times New Roman" w:hAnsi="Times New Roman" w:cs="Times New Roman"/>
                <w:color w:val="auto"/>
                <w:sz w:val="28"/>
              </w:rPr>
              <w:t>Company completed registration</w:t>
            </w:r>
          </w:p>
        </w:tc>
      </w:tr>
      <w:tr w:rsidR="002319FF" w:rsidRPr="001D15D4" w:rsidTr="00086743">
        <w:trPr>
          <w:trHeight w:val="140"/>
        </w:trPr>
        <w:tc>
          <w:tcPr>
            <w:tcW w:w="3202" w:type="dxa"/>
          </w:tcPr>
          <w:p w:rsidR="002319FF" w:rsidRPr="001D15D4" w:rsidRDefault="002319FF" w:rsidP="00086743">
            <w:pPr>
              <w:pStyle w:val="Default"/>
              <w:rPr>
                <w:rFonts w:ascii="Times New Roman" w:hAnsi="Times New Roman" w:cs="Times New Roman"/>
                <w:sz w:val="28"/>
                <w:szCs w:val="28"/>
              </w:rPr>
            </w:pPr>
            <w:r w:rsidRPr="001D15D4">
              <w:rPr>
                <w:rFonts w:ascii="Times New Roman" w:hAnsi="Times New Roman" w:cs="Times New Roman"/>
                <w:color w:val="auto"/>
                <w:sz w:val="28"/>
              </w:rPr>
              <w:t>September 12, 2025</w:t>
            </w:r>
          </w:p>
        </w:tc>
        <w:tc>
          <w:tcPr>
            <w:tcW w:w="5128" w:type="dxa"/>
          </w:tcPr>
          <w:p w:rsidR="002319FF" w:rsidRPr="001D15D4" w:rsidRDefault="002319FF" w:rsidP="00086743">
            <w:pPr>
              <w:pStyle w:val="Default"/>
              <w:rPr>
                <w:rFonts w:ascii="Times New Roman" w:hAnsi="Times New Roman" w:cs="Times New Roman"/>
                <w:sz w:val="28"/>
                <w:szCs w:val="28"/>
              </w:rPr>
            </w:pPr>
            <w:r w:rsidRPr="001D15D4">
              <w:rPr>
                <w:rFonts w:ascii="Times New Roman" w:hAnsi="Times New Roman" w:cs="Times New Roman"/>
                <w:color w:val="auto"/>
                <w:sz w:val="28"/>
              </w:rPr>
              <w:t>Company commenced self-evaluation</w:t>
            </w:r>
          </w:p>
        </w:tc>
      </w:tr>
      <w:tr w:rsidR="002319FF" w:rsidRPr="001D15D4" w:rsidTr="00086743">
        <w:trPr>
          <w:trHeight w:val="140"/>
        </w:trPr>
        <w:tc>
          <w:tcPr>
            <w:tcW w:w="3202" w:type="dxa"/>
          </w:tcPr>
          <w:p w:rsidR="002319FF" w:rsidRPr="001D15D4" w:rsidRDefault="002319FF" w:rsidP="00086743">
            <w:pPr>
              <w:pStyle w:val="Default"/>
              <w:rPr>
                <w:rFonts w:ascii="Times New Roman" w:hAnsi="Times New Roman" w:cs="Times New Roman"/>
                <w:sz w:val="28"/>
                <w:szCs w:val="28"/>
              </w:rPr>
            </w:pPr>
            <w:r w:rsidRPr="001D15D4">
              <w:rPr>
                <w:rFonts w:ascii="Times New Roman" w:hAnsi="Times New Roman" w:cs="Times New Roman"/>
                <w:color w:val="auto"/>
                <w:sz w:val="28"/>
              </w:rPr>
              <w:t>October 1, 2025</w:t>
            </w:r>
          </w:p>
        </w:tc>
        <w:tc>
          <w:tcPr>
            <w:tcW w:w="5128" w:type="dxa"/>
          </w:tcPr>
          <w:p w:rsidR="002319FF" w:rsidRPr="001D15D4" w:rsidRDefault="002319FF" w:rsidP="00086743">
            <w:pPr>
              <w:pStyle w:val="Default"/>
              <w:rPr>
                <w:rFonts w:ascii="Times New Roman" w:hAnsi="Times New Roman" w:cs="Times New Roman"/>
                <w:sz w:val="28"/>
                <w:szCs w:val="28"/>
              </w:rPr>
            </w:pPr>
            <w:r w:rsidRPr="001D15D4">
              <w:rPr>
                <w:rFonts w:ascii="Times New Roman" w:hAnsi="Times New Roman" w:cs="Times New Roman"/>
                <w:color w:val="auto"/>
                <w:sz w:val="28"/>
              </w:rPr>
              <w:t>Company completed self-evaluation</w:t>
            </w:r>
          </w:p>
        </w:tc>
      </w:tr>
      <w:tr w:rsidR="002319FF" w:rsidRPr="001D15D4" w:rsidTr="00086743">
        <w:trPr>
          <w:trHeight w:val="140"/>
        </w:trPr>
        <w:tc>
          <w:tcPr>
            <w:tcW w:w="3202" w:type="dxa"/>
          </w:tcPr>
          <w:p w:rsidR="002319FF" w:rsidRPr="001D15D4" w:rsidRDefault="002319FF" w:rsidP="00086743">
            <w:pPr>
              <w:pStyle w:val="Default"/>
              <w:rPr>
                <w:rFonts w:ascii="Times New Roman" w:hAnsi="Times New Roman" w:cs="Times New Roman"/>
                <w:sz w:val="28"/>
                <w:szCs w:val="28"/>
              </w:rPr>
            </w:pPr>
            <w:r w:rsidRPr="001D15D4">
              <w:rPr>
                <w:rFonts w:ascii="Times New Roman" w:hAnsi="Times New Roman" w:cs="Times New Roman"/>
                <w:color w:val="auto"/>
                <w:sz w:val="28"/>
              </w:rPr>
              <w:t>October 30, 2025</w:t>
            </w:r>
          </w:p>
        </w:tc>
        <w:tc>
          <w:tcPr>
            <w:tcW w:w="5128" w:type="dxa"/>
          </w:tcPr>
          <w:p w:rsidR="002319FF" w:rsidRPr="001D15D4" w:rsidRDefault="002319FF" w:rsidP="002319FF">
            <w:pPr>
              <w:pStyle w:val="Default"/>
              <w:rPr>
                <w:rFonts w:ascii="Times New Roman" w:hAnsi="Times New Roman" w:cs="Times New Roman"/>
                <w:sz w:val="28"/>
                <w:szCs w:val="28"/>
              </w:rPr>
            </w:pPr>
            <w:r w:rsidRPr="001D15D4">
              <w:rPr>
                <w:rFonts w:ascii="Times New Roman" w:hAnsi="Times New Roman" w:cs="Times New Roman"/>
                <w:color w:val="auto"/>
                <w:sz w:val="28"/>
              </w:rPr>
              <w:t>Documentary review by evaluation committee and staff</w:t>
            </w:r>
          </w:p>
        </w:tc>
      </w:tr>
      <w:tr w:rsidR="002319FF" w:rsidRPr="001D15D4" w:rsidTr="00086743">
        <w:trPr>
          <w:trHeight w:val="140"/>
        </w:trPr>
        <w:tc>
          <w:tcPr>
            <w:tcW w:w="3202" w:type="dxa"/>
          </w:tcPr>
          <w:p w:rsidR="002319FF" w:rsidRPr="001D15D4" w:rsidRDefault="002319FF" w:rsidP="00086743">
            <w:pPr>
              <w:pStyle w:val="Default"/>
              <w:rPr>
                <w:rFonts w:ascii="Times New Roman" w:hAnsi="Times New Roman" w:cs="Times New Roman"/>
                <w:sz w:val="28"/>
                <w:szCs w:val="28"/>
              </w:rPr>
            </w:pPr>
            <w:r w:rsidRPr="001D15D4">
              <w:rPr>
                <w:rFonts w:ascii="Times New Roman" w:hAnsi="Times New Roman" w:cs="Times New Roman"/>
                <w:color w:val="auto"/>
                <w:sz w:val="28"/>
              </w:rPr>
              <w:t>November 11, 2025</w:t>
            </w:r>
          </w:p>
        </w:tc>
        <w:tc>
          <w:tcPr>
            <w:tcW w:w="5128" w:type="dxa"/>
          </w:tcPr>
          <w:p w:rsidR="002319FF" w:rsidRPr="001D15D4" w:rsidRDefault="002319FF" w:rsidP="002319FF">
            <w:pPr>
              <w:pStyle w:val="Default"/>
              <w:rPr>
                <w:rFonts w:ascii="Times New Roman" w:hAnsi="Times New Roman" w:cs="Times New Roman"/>
                <w:sz w:val="28"/>
                <w:szCs w:val="28"/>
              </w:rPr>
            </w:pPr>
            <w:r w:rsidRPr="001D15D4">
              <w:rPr>
                <w:rFonts w:ascii="Times New Roman" w:hAnsi="Times New Roman" w:cs="Times New Roman"/>
                <w:color w:val="auto"/>
                <w:sz w:val="28"/>
              </w:rPr>
              <w:t>On-site evaluation</w:t>
            </w:r>
            <w:r w:rsidR="00EE2223" w:rsidRPr="001D15D4">
              <w:rPr>
                <w:rFonts w:ascii="Times New Roman" w:hAnsi="Times New Roman" w:cs="Times New Roman"/>
                <w:color w:val="auto"/>
                <w:sz w:val="28"/>
              </w:rPr>
              <w:t xml:space="preserve"> by evaluation committee and staff</w:t>
            </w:r>
          </w:p>
        </w:tc>
      </w:tr>
      <w:tr w:rsidR="002319FF" w:rsidRPr="001D15D4" w:rsidTr="00086743">
        <w:trPr>
          <w:trHeight w:val="140"/>
        </w:trPr>
        <w:tc>
          <w:tcPr>
            <w:tcW w:w="3202" w:type="dxa"/>
          </w:tcPr>
          <w:p w:rsidR="002319FF" w:rsidRPr="001D15D4" w:rsidRDefault="002319FF" w:rsidP="00086743">
            <w:pPr>
              <w:pStyle w:val="Default"/>
              <w:rPr>
                <w:rFonts w:ascii="Times New Roman" w:hAnsi="Times New Roman" w:cs="Times New Roman"/>
                <w:sz w:val="28"/>
                <w:szCs w:val="28"/>
              </w:rPr>
            </w:pPr>
            <w:r w:rsidRPr="001D15D4">
              <w:rPr>
                <w:rFonts w:ascii="Times New Roman" w:hAnsi="Times New Roman" w:cs="Times New Roman"/>
                <w:color w:val="auto"/>
                <w:sz w:val="28"/>
              </w:rPr>
              <w:t>November 25, 2025</w:t>
            </w:r>
          </w:p>
        </w:tc>
        <w:tc>
          <w:tcPr>
            <w:tcW w:w="5128" w:type="dxa"/>
          </w:tcPr>
          <w:p w:rsidR="002319FF" w:rsidRPr="001D15D4" w:rsidRDefault="002319FF" w:rsidP="002319FF">
            <w:pPr>
              <w:pStyle w:val="Default"/>
              <w:rPr>
                <w:rFonts w:ascii="Times New Roman" w:hAnsi="Times New Roman" w:cs="Times New Roman"/>
                <w:sz w:val="28"/>
                <w:szCs w:val="28"/>
              </w:rPr>
            </w:pPr>
            <w:r w:rsidRPr="001D15D4">
              <w:rPr>
                <w:rFonts w:ascii="Times New Roman" w:hAnsi="Times New Roman" w:cs="Times New Roman"/>
                <w:color w:val="auto"/>
                <w:sz w:val="28"/>
              </w:rPr>
              <w:t>Evaluation report issued</w:t>
            </w:r>
            <w:r w:rsidRPr="001D15D4">
              <w:rPr>
                <w:rFonts w:ascii="Times New Roman" w:hAnsi="Times New Roman" w:cs="Times New Roman"/>
                <w:sz w:val="28"/>
                <w:szCs w:val="28"/>
              </w:rPr>
              <w:t xml:space="preserve"> </w:t>
            </w:r>
          </w:p>
        </w:tc>
      </w:tr>
    </w:tbl>
    <w:p w:rsidR="002319FF" w:rsidRPr="001D15D4" w:rsidRDefault="002319FF" w:rsidP="003905A4">
      <w:pPr>
        <w:pStyle w:val="Default"/>
        <w:rPr>
          <w:rFonts w:ascii="Times New Roman" w:hAnsi="Times New Roman" w:cs="Times New Roman"/>
          <w:color w:val="auto"/>
          <w:sz w:val="28"/>
        </w:rPr>
      </w:pP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2. Review Period: October 1, 2024 – September 30, 2025</w:t>
      </w:r>
    </w:p>
    <w:p w:rsidR="003905A4" w:rsidRPr="001D15D4" w:rsidRDefault="003905A4" w:rsidP="003905A4">
      <w:pPr>
        <w:pStyle w:val="Default"/>
        <w:rPr>
          <w:rFonts w:ascii="Times New Roman" w:hAnsi="Times New Roman" w:cs="Times New Roman"/>
          <w:color w:val="auto"/>
          <w:sz w:val="28"/>
        </w:rPr>
      </w:pP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3. On-site Evaluation Team:</w:t>
      </w:r>
    </w:p>
    <w:p w:rsidR="003905A4" w:rsidRPr="001D15D4" w:rsidRDefault="003905A4" w:rsidP="002319FF">
      <w:pPr>
        <w:pStyle w:val="Default"/>
        <w:ind w:leftChars="100" w:left="240"/>
        <w:rPr>
          <w:rFonts w:ascii="Times New Roman" w:hAnsi="Times New Roman" w:cs="Times New Roman"/>
          <w:color w:val="auto"/>
          <w:sz w:val="28"/>
        </w:rPr>
      </w:pPr>
      <w:r w:rsidRPr="001D15D4">
        <w:rPr>
          <w:rFonts w:ascii="Times New Roman" w:hAnsi="Times New Roman" w:cs="Times New Roman"/>
          <w:color w:val="auto"/>
          <w:sz w:val="28"/>
        </w:rPr>
        <w:t>Executive Committee Member &amp; Convener: Fu-Wei Chen</w:t>
      </w:r>
    </w:p>
    <w:p w:rsidR="003905A4" w:rsidRPr="001D15D4" w:rsidRDefault="003905A4" w:rsidP="002319FF">
      <w:pPr>
        <w:pStyle w:val="Default"/>
        <w:ind w:leftChars="100" w:left="240"/>
        <w:rPr>
          <w:rFonts w:ascii="Times New Roman" w:hAnsi="Times New Roman" w:cs="Times New Roman"/>
          <w:color w:val="auto"/>
          <w:sz w:val="28"/>
        </w:rPr>
      </w:pPr>
    </w:p>
    <w:p w:rsidR="003905A4" w:rsidRPr="001D15D4" w:rsidRDefault="003905A4" w:rsidP="002319FF">
      <w:pPr>
        <w:pStyle w:val="Default"/>
        <w:ind w:leftChars="100" w:left="240"/>
        <w:rPr>
          <w:rFonts w:ascii="Times New Roman" w:hAnsi="Times New Roman" w:cs="Times New Roman"/>
          <w:color w:val="auto"/>
          <w:sz w:val="28"/>
        </w:rPr>
      </w:pPr>
      <w:r w:rsidRPr="001D15D4">
        <w:rPr>
          <w:rFonts w:ascii="Times New Roman" w:hAnsi="Times New Roman" w:cs="Times New Roman"/>
          <w:color w:val="auto"/>
          <w:sz w:val="28"/>
        </w:rPr>
        <w:t xml:space="preserve">Executive Committee Member: </w:t>
      </w:r>
      <w:proofErr w:type="spellStart"/>
      <w:r w:rsidRPr="001D15D4">
        <w:rPr>
          <w:rFonts w:ascii="Times New Roman" w:hAnsi="Times New Roman" w:cs="Times New Roman"/>
          <w:color w:val="auto"/>
          <w:sz w:val="28"/>
        </w:rPr>
        <w:t>Kuang-Hua</w:t>
      </w:r>
      <w:proofErr w:type="spellEnd"/>
      <w:r w:rsidRPr="001D15D4">
        <w:rPr>
          <w:rFonts w:ascii="Times New Roman" w:hAnsi="Times New Roman" w:cs="Times New Roman"/>
          <w:color w:val="auto"/>
          <w:sz w:val="28"/>
        </w:rPr>
        <w:t xml:space="preserve"> Yu</w:t>
      </w:r>
    </w:p>
    <w:p w:rsidR="003905A4" w:rsidRPr="001D15D4" w:rsidRDefault="003905A4" w:rsidP="002319FF">
      <w:pPr>
        <w:pStyle w:val="Default"/>
        <w:ind w:leftChars="100" w:left="240"/>
        <w:rPr>
          <w:rFonts w:ascii="Times New Roman" w:hAnsi="Times New Roman" w:cs="Times New Roman"/>
          <w:color w:val="auto"/>
          <w:sz w:val="28"/>
        </w:rPr>
      </w:pPr>
    </w:p>
    <w:p w:rsidR="003905A4" w:rsidRPr="001D15D4" w:rsidRDefault="003905A4" w:rsidP="002319FF">
      <w:pPr>
        <w:pStyle w:val="Default"/>
        <w:ind w:leftChars="100" w:left="240"/>
        <w:rPr>
          <w:rFonts w:ascii="Times New Roman" w:hAnsi="Times New Roman" w:cs="Times New Roman"/>
          <w:color w:val="auto"/>
          <w:sz w:val="28"/>
        </w:rPr>
      </w:pPr>
      <w:r w:rsidRPr="001D15D4">
        <w:rPr>
          <w:rFonts w:ascii="Times New Roman" w:hAnsi="Times New Roman" w:cs="Times New Roman"/>
          <w:color w:val="auto"/>
          <w:sz w:val="28"/>
        </w:rPr>
        <w:t>Evaluation Specialist: Yi-Ching Sung</w:t>
      </w:r>
    </w:p>
    <w:p w:rsidR="003905A4" w:rsidRPr="001D15D4" w:rsidRDefault="003905A4" w:rsidP="002319FF">
      <w:pPr>
        <w:pStyle w:val="Default"/>
        <w:ind w:leftChars="100" w:left="240"/>
        <w:rPr>
          <w:rFonts w:ascii="Times New Roman" w:hAnsi="Times New Roman" w:cs="Times New Roman"/>
          <w:color w:val="auto"/>
          <w:sz w:val="28"/>
        </w:rPr>
      </w:pPr>
    </w:p>
    <w:p w:rsidR="003905A4" w:rsidRPr="001D15D4" w:rsidRDefault="003905A4" w:rsidP="002319FF">
      <w:pPr>
        <w:pStyle w:val="Default"/>
        <w:ind w:leftChars="100" w:left="240"/>
        <w:rPr>
          <w:rFonts w:ascii="Times New Roman" w:hAnsi="Times New Roman" w:cs="Times New Roman"/>
          <w:color w:val="auto"/>
          <w:sz w:val="28"/>
        </w:rPr>
      </w:pPr>
      <w:r w:rsidRPr="001D15D4">
        <w:rPr>
          <w:rFonts w:ascii="Times New Roman" w:hAnsi="Times New Roman" w:cs="Times New Roman"/>
          <w:color w:val="auto"/>
          <w:sz w:val="28"/>
        </w:rPr>
        <w:t>Evaluation Specialist: Chia-Jung Chiang</w:t>
      </w:r>
    </w:p>
    <w:p w:rsidR="003905A4" w:rsidRPr="001D15D4" w:rsidRDefault="003905A4" w:rsidP="003905A4">
      <w:pPr>
        <w:pStyle w:val="Default"/>
        <w:rPr>
          <w:rFonts w:ascii="Times New Roman" w:hAnsi="Times New Roman" w:cs="Times New Roman"/>
          <w:color w:val="auto"/>
          <w:sz w:val="28"/>
        </w:rPr>
      </w:pP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4. Attendees from the Evaluated Company:</w:t>
      </w:r>
    </w:p>
    <w:tbl>
      <w:tblPr>
        <w:tblStyle w:val="a7"/>
        <w:tblW w:w="0" w:type="auto"/>
        <w:tblLayout w:type="fixed"/>
        <w:tblLook w:val="0000" w:firstRow="0" w:lastRow="0" w:firstColumn="0" w:lastColumn="0" w:noHBand="0" w:noVBand="0"/>
      </w:tblPr>
      <w:tblGrid>
        <w:gridCol w:w="5353"/>
        <w:gridCol w:w="2268"/>
        <w:gridCol w:w="709"/>
      </w:tblGrid>
      <w:tr w:rsidR="00ED11DB" w:rsidRPr="001D15D4" w:rsidTr="009D0528">
        <w:trPr>
          <w:trHeight w:val="140"/>
        </w:trPr>
        <w:tc>
          <w:tcPr>
            <w:tcW w:w="5353" w:type="dxa"/>
          </w:tcPr>
          <w:p w:rsidR="00ED11DB" w:rsidRPr="001D15D4" w:rsidRDefault="00ED11DB"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hAnsi="Times New Roman" w:cs="Times New Roman"/>
                <w:sz w:val="28"/>
                <w:szCs w:val="28"/>
              </w:rPr>
              <w:t>Chairperson</w:t>
            </w:r>
          </w:p>
        </w:tc>
        <w:tc>
          <w:tcPr>
            <w:tcW w:w="2268" w:type="dxa"/>
          </w:tcPr>
          <w:p w:rsidR="00ED11DB" w:rsidRPr="001D15D4" w:rsidRDefault="009D0528" w:rsidP="009D0528">
            <w:pPr>
              <w:autoSpaceDE w:val="0"/>
              <w:autoSpaceDN w:val="0"/>
              <w:adjustRightInd w:val="0"/>
              <w:rPr>
                <w:rFonts w:ascii="Times New Roman" w:eastAsia="標楷體" w:hAnsi="Times New Roman" w:cs="Times New Roman"/>
                <w:color w:val="1D1B11"/>
                <w:kern w:val="0"/>
                <w:sz w:val="28"/>
                <w:szCs w:val="28"/>
              </w:rPr>
            </w:pPr>
            <w:r w:rsidRPr="001D15D4">
              <w:rPr>
                <w:rFonts w:ascii="Times New Roman" w:eastAsia="標楷體" w:hAnsi="Times New Roman" w:cs="Times New Roman"/>
                <w:color w:val="1D1B11"/>
                <w:kern w:val="0"/>
                <w:sz w:val="28"/>
                <w:szCs w:val="28"/>
              </w:rPr>
              <w:t>Chi-Hsien Chan</w:t>
            </w:r>
            <w:r w:rsidR="00ED11DB" w:rsidRPr="001D15D4">
              <w:rPr>
                <w:rFonts w:ascii="Times New Roman" w:eastAsia="標楷體" w:hAnsi="Times New Roman" w:cs="Times New Roman"/>
                <w:color w:val="1D1B11"/>
                <w:kern w:val="0"/>
                <w:sz w:val="28"/>
                <w:szCs w:val="28"/>
              </w:rPr>
              <w:t xml:space="preserve"> </w:t>
            </w:r>
          </w:p>
        </w:tc>
        <w:tc>
          <w:tcPr>
            <w:tcW w:w="709" w:type="dxa"/>
          </w:tcPr>
          <w:p w:rsidR="00ED11DB" w:rsidRPr="001D15D4" w:rsidRDefault="009D0528"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hint="eastAsia"/>
                <w:color w:val="000000"/>
                <w:kern w:val="0"/>
                <w:sz w:val="28"/>
                <w:szCs w:val="28"/>
              </w:rPr>
              <w:t>Mr.</w:t>
            </w:r>
          </w:p>
        </w:tc>
      </w:tr>
      <w:tr w:rsidR="009D0528" w:rsidRPr="001D15D4" w:rsidTr="009D0528">
        <w:trPr>
          <w:trHeight w:val="140"/>
        </w:trPr>
        <w:tc>
          <w:tcPr>
            <w:tcW w:w="5353" w:type="dxa"/>
          </w:tcPr>
          <w:p w:rsidR="009D0528" w:rsidRPr="001D15D4" w:rsidRDefault="009D0528"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hAnsi="Times New Roman" w:cs="Times New Roman"/>
                <w:sz w:val="28"/>
                <w:szCs w:val="28"/>
              </w:rPr>
              <w:t>Independent Director / Convener of Audit &amp; Risk Management Committees</w:t>
            </w:r>
          </w:p>
        </w:tc>
        <w:tc>
          <w:tcPr>
            <w:tcW w:w="2268" w:type="dxa"/>
          </w:tcPr>
          <w:p w:rsidR="009D0528" w:rsidRPr="001D15D4" w:rsidRDefault="009D0528" w:rsidP="009D0528">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sz w:val="28"/>
                <w:szCs w:val="28"/>
              </w:rPr>
              <w:t>Yung-Sheng Hsu</w:t>
            </w:r>
            <w:r w:rsidRPr="001D15D4">
              <w:rPr>
                <w:rFonts w:ascii="Times New Roman" w:eastAsia="標楷體" w:hAnsi="Times New Roman" w:cs="Times New Roman"/>
                <w:color w:val="000000"/>
                <w:kern w:val="0"/>
                <w:sz w:val="28"/>
                <w:szCs w:val="28"/>
              </w:rPr>
              <w:t xml:space="preserve"> </w:t>
            </w:r>
          </w:p>
        </w:tc>
        <w:tc>
          <w:tcPr>
            <w:tcW w:w="709" w:type="dxa"/>
          </w:tcPr>
          <w:p w:rsidR="009D0528" w:rsidRPr="001D15D4" w:rsidRDefault="009D0528" w:rsidP="0036550F">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hint="eastAsia"/>
                <w:color w:val="000000"/>
                <w:kern w:val="0"/>
                <w:sz w:val="28"/>
                <w:szCs w:val="28"/>
              </w:rPr>
              <w:t>Mr.</w:t>
            </w:r>
          </w:p>
        </w:tc>
      </w:tr>
      <w:tr w:rsidR="00ED11DB" w:rsidRPr="001D15D4" w:rsidTr="009D0528">
        <w:trPr>
          <w:trHeight w:val="140"/>
        </w:trPr>
        <w:tc>
          <w:tcPr>
            <w:tcW w:w="5353" w:type="dxa"/>
          </w:tcPr>
          <w:p w:rsidR="00ED11DB" w:rsidRPr="001D15D4" w:rsidRDefault="00ED11DB"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hAnsi="Times New Roman" w:cs="Times New Roman"/>
                <w:sz w:val="28"/>
                <w:szCs w:val="28"/>
              </w:rPr>
              <w:t>Independent Director</w:t>
            </w:r>
          </w:p>
        </w:tc>
        <w:tc>
          <w:tcPr>
            <w:tcW w:w="2268" w:type="dxa"/>
          </w:tcPr>
          <w:p w:rsidR="00ED11DB" w:rsidRPr="001D15D4" w:rsidRDefault="009D0528"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sz w:val="28"/>
                <w:szCs w:val="28"/>
              </w:rPr>
              <w:t>Mei-Ling Hsiao</w:t>
            </w:r>
          </w:p>
        </w:tc>
        <w:tc>
          <w:tcPr>
            <w:tcW w:w="709" w:type="dxa"/>
          </w:tcPr>
          <w:p w:rsidR="00ED11DB" w:rsidRPr="001D15D4" w:rsidRDefault="009D0528"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hint="eastAsia"/>
                <w:color w:val="000000"/>
                <w:kern w:val="0"/>
                <w:sz w:val="28"/>
                <w:szCs w:val="28"/>
              </w:rPr>
              <w:t>Ms.</w:t>
            </w:r>
          </w:p>
        </w:tc>
      </w:tr>
      <w:tr w:rsidR="009D0528" w:rsidRPr="001D15D4" w:rsidTr="009D0528">
        <w:trPr>
          <w:trHeight w:val="140"/>
        </w:trPr>
        <w:tc>
          <w:tcPr>
            <w:tcW w:w="5353" w:type="dxa"/>
          </w:tcPr>
          <w:p w:rsidR="009D0528" w:rsidRPr="001D15D4" w:rsidRDefault="009D0528"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hAnsi="Times New Roman" w:cs="Times New Roman"/>
                <w:sz w:val="28"/>
                <w:szCs w:val="28"/>
              </w:rPr>
              <w:t>Director</w:t>
            </w:r>
          </w:p>
        </w:tc>
        <w:tc>
          <w:tcPr>
            <w:tcW w:w="2268" w:type="dxa"/>
          </w:tcPr>
          <w:p w:rsidR="009D0528" w:rsidRPr="001D15D4" w:rsidRDefault="009D0528" w:rsidP="009D0528">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color w:val="000000"/>
                <w:kern w:val="0"/>
                <w:sz w:val="28"/>
                <w:szCs w:val="28"/>
              </w:rPr>
              <w:t>Chung-Cheng Liu</w:t>
            </w:r>
          </w:p>
        </w:tc>
        <w:tc>
          <w:tcPr>
            <w:tcW w:w="709" w:type="dxa"/>
          </w:tcPr>
          <w:p w:rsidR="009D0528" w:rsidRPr="001D15D4" w:rsidRDefault="009D0528" w:rsidP="0036550F">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hint="eastAsia"/>
                <w:color w:val="000000"/>
                <w:kern w:val="0"/>
                <w:sz w:val="28"/>
                <w:szCs w:val="28"/>
              </w:rPr>
              <w:t>Mr.</w:t>
            </w:r>
          </w:p>
        </w:tc>
      </w:tr>
      <w:tr w:rsidR="009D0528" w:rsidRPr="001D15D4" w:rsidTr="009D0528">
        <w:trPr>
          <w:trHeight w:val="140"/>
        </w:trPr>
        <w:tc>
          <w:tcPr>
            <w:tcW w:w="5353" w:type="dxa"/>
          </w:tcPr>
          <w:p w:rsidR="009D0528" w:rsidRPr="001D15D4" w:rsidRDefault="009D0528"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color w:val="000000"/>
                <w:kern w:val="0"/>
                <w:sz w:val="28"/>
                <w:szCs w:val="28"/>
              </w:rPr>
              <w:t xml:space="preserve">General Counsel </w:t>
            </w:r>
          </w:p>
        </w:tc>
        <w:tc>
          <w:tcPr>
            <w:tcW w:w="2268" w:type="dxa"/>
          </w:tcPr>
          <w:p w:rsidR="009D0528" w:rsidRPr="001D15D4" w:rsidRDefault="009D0528" w:rsidP="00086743">
            <w:pPr>
              <w:autoSpaceDE w:val="0"/>
              <w:autoSpaceDN w:val="0"/>
              <w:adjustRightInd w:val="0"/>
              <w:rPr>
                <w:rFonts w:ascii="Times New Roman" w:eastAsia="標楷體" w:hAnsi="Times New Roman" w:cs="Times New Roman"/>
                <w:color w:val="000000"/>
                <w:kern w:val="0"/>
                <w:sz w:val="28"/>
                <w:szCs w:val="28"/>
              </w:rPr>
            </w:pPr>
            <w:proofErr w:type="spellStart"/>
            <w:r w:rsidRPr="001D15D4">
              <w:rPr>
                <w:rFonts w:ascii="Times New Roman" w:eastAsia="標楷體" w:hAnsi="Times New Roman" w:cs="Times New Roman"/>
                <w:color w:val="000000"/>
                <w:kern w:val="0"/>
                <w:sz w:val="28"/>
                <w:szCs w:val="28"/>
              </w:rPr>
              <w:t>Fei</w:t>
            </w:r>
            <w:proofErr w:type="spellEnd"/>
            <w:r w:rsidRPr="001D15D4">
              <w:rPr>
                <w:rFonts w:ascii="Times New Roman" w:eastAsia="標楷體" w:hAnsi="Times New Roman" w:cs="Times New Roman"/>
                <w:color w:val="000000"/>
                <w:kern w:val="0"/>
                <w:sz w:val="28"/>
                <w:szCs w:val="28"/>
              </w:rPr>
              <w:t xml:space="preserve"> Pan</w:t>
            </w:r>
          </w:p>
        </w:tc>
        <w:tc>
          <w:tcPr>
            <w:tcW w:w="709" w:type="dxa"/>
          </w:tcPr>
          <w:p w:rsidR="009D0528" w:rsidRPr="001D15D4" w:rsidRDefault="009D0528" w:rsidP="0036550F">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hint="eastAsia"/>
                <w:color w:val="000000"/>
                <w:kern w:val="0"/>
                <w:sz w:val="28"/>
                <w:szCs w:val="28"/>
              </w:rPr>
              <w:t>Mr.</w:t>
            </w:r>
          </w:p>
        </w:tc>
      </w:tr>
      <w:tr w:rsidR="009D0528" w:rsidRPr="001D15D4" w:rsidTr="009D0528">
        <w:trPr>
          <w:trHeight w:val="140"/>
        </w:trPr>
        <w:tc>
          <w:tcPr>
            <w:tcW w:w="5353" w:type="dxa"/>
          </w:tcPr>
          <w:p w:rsidR="009D0528" w:rsidRPr="001D15D4" w:rsidRDefault="009D0528"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hAnsi="Times New Roman" w:cs="Times New Roman"/>
                <w:sz w:val="28"/>
                <w:szCs w:val="28"/>
              </w:rPr>
              <w:t>Corporate Governance Supervisor</w:t>
            </w:r>
          </w:p>
        </w:tc>
        <w:tc>
          <w:tcPr>
            <w:tcW w:w="2268" w:type="dxa"/>
          </w:tcPr>
          <w:p w:rsidR="009D0528" w:rsidRPr="001D15D4" w:rsidRDefault="009D0528"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hAnsi="Times New Roman" w:cs="Times New Roman"/>
                <w:sz w:val="28"/>
                <w:szCs w:val="28"/>
              </w:rPr>
              <w:t>Ching-Yao Lin</w:t>
            </w:r>
          </w:p>
        </w:tc>
        <w:tc>
          <w:tcPr>
            <w:tcW w:w="709" w:type="dxa"/>
          </w:tcPr>
          <w:p w:rsidR="009D0528" w:rsidRPr="001D15D4" w:rsidRDefault="009D0528" w:rsidP="0036550F">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hint="eastAsia"/>
                <w:color w:val="000000"/>
                <w:kern w:val="0"/>
                <w:sz w:val="28"/>
                <w:szCs w:val="28"/>
              </w:rPr>
              <w:t>Mr.</w:t>
            </w:r>
          </w:p>
        </w:tc>
      </w:tr>
      <w:tr w:rsidR="009D0528" w:rsidRPr="001D15D4" w:rsidTr="009D0528">
        <w:trPr>
          <w:trHeight w:val="140"/>
        </w:trPr>
        <w:tc>
          <w:tcPr>
            <w:tcW w:w="5353" w:type="dxa"/>
          </w:tcPr>
          <w:p w:rsidR="009D0528" w:rsidRPr="001D15D4" w:rsidRDefault="009D0528" w:rsidP="00086743">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hAnsi="Times New Roman" w:cs="Times New Roman"/>
                <w:sz w:val="28"/>
                <w:szCs w:val="28"/>
              </w:rPr>
              <w:t>Internal Audit Supervisor</w:t>
            </w:r>
          </w:p>
        </w:tc>
        <w:tc>
          <w:tcPr>
            <w:tcW w:w="2268" w:type="dxa"/>
          </w:tcPr>
          <w:p w:rsidR="009D0528" w:rsidRPr="001D15D4" w:rsidRDefault="009D0528" w:rsidP="00EE2223">
            <w:pPr>
              <w:autoSpaceDE w:val="0"/>
              <w:autoSpaceDN w:val="0"/>
              <w:adjustRightInd w:val="0"/>
              <w:rPr>
                <w:rFonts w:ascii="Times New Roman" w:eastAsia="標楷體" w:hAnsi="Times New Roman" w:cs="Times New Roman"/>
                <w:color w:val="000000"/>
                <w:kern w:val="0"/>
                <w:sz w:val="28"/>
                <w:szCs w:val="28"/>
              </w:rPr>
            </w:pPr>
            <w:proofErr w:type="spellStart"/>
            <w:r w:rsidRPr="001D15D4">
              <w:rPr>
                <w:rFonts w:ascii="Times New Roman" w:hAnsi="Times New Roman" w:cs="Times New Roman"/>
                <w:sz w:val="28"/>
                <w:szCs w:val="28"/>
              </w:rPr>
              <w:t>Fei-Meng</w:t>
            </w:r>
            <w:proofErr w:type="spellEnd"/>
            <w:r w:rsidRPr="001D15D4">
              <w:rPr>
                <w:rFonts w:ascii="Times New Roman" w:hAnsi="Times New Roman" w:cs="Times New Roman"/>
                <w:sz w:val="28"/>
                <w:szCs w:val="28"/>
              </w:rPr>
              <w:t xml:space="preserve"> Shih</w:t>
            </w:r>
          </w:p>
        </w:tc>
        <w:tc>
          <w:tcPr>
            <w:tcW w:w="709" w:type="dxa"/>
          </w:tcPr>
          <w:p w:rsidR="009D0528" w:rsidRPr="001D15D4" w:rsidRDefault="009D0528" w:rsidP="0036550F">
            <w:pPr>
              <w:autoSpaceDE w:val="0"/>
              <w:autoSpaceDN w:val="0"/>
              <w:adjustRightInd w:val="0"/>
              <w:rPr>
                <w:rFonts w:ascii="Times New Roman" w:eastAsia="標楷體" w:hAnsi="Times New Roman" w:cs="Times New Roman"/>
                <w:color w:val="000000"/>
                <w:kern w:val="0"/>
                <w:sz w:val="28"/>
                <w:szCs w:val="28"/>
              </w:rPr>
            </w:pPr>
            <w:r w:rsidRPr="001D15D4">
              <w:rPr>
                <w:rFonts w:ascii="Times New Roman" w:eastAsia="標楷體" w:hAnsi="Times New Roman" w:cs="Times New Roman" w:hint="eastAsia"/>
                <w:color w:val="000000"/>
                <w:kern w:val="0"/>
                <w:sz w:val="28"/>
                <w:szCs w:val="28"/>
              </w:rPr>
              <w:t>Ms.</w:t>
            </w:r>
          </w:p>
        </w:tc>
      </w:tr>
    </w:tbl>
    <w:p w:rsidR="003905A4" w:rsidRPr="001D15D4" w:rsidRDefault="003905A4" w:rsidP="003905A4">
      <w:pPr>
        <w:pStyle w:val="Default"/>
        <w:rPr>
          <w:rFonts w:ascii="Times New Roman" w:hAnsi="Times New Roman" w:cs="Times New Roman"/>
          <w:color w:val="auto"/>
          <w:sz w:val="28"/>
        </w:rPr>
      </w:pPr>
    </w:p>
    <w:p w:rsidR="009D0528" w:rsidRPr="001D15D4" w:rsidRDefault="009D0528">
      <w:pPr>
        <w:widowControl/>
        <w:rPr>
          <w:rFonts w:ascii="Times New Roman" w:eastAsia="標楷體" w:hAnsi="Times New Roman" w:cs="Times New Roman"/>
          <w:kern w:val="0"/>
          <w:sz w:val="28"/>
          <w:szCs w:val="24"/>
        </w:rPr>
      </w:pPr>
      <w:r w:rsidRPr="001D15D4">
        <w:rPr>
          <w:rFonts w:ascii="Times New Roman" w:hAnsi="Times New Roman" w:cs="Times New Roman"/>
          <w:sz w:val="28"/>
        </w:rPr>
        <w:br w:type="page"/>
      </w:r>
    </w:p>
    <w:p w:rsidR="003905A4"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lastRenderedPageBreak/>
        <w:t>(3) Independence Statement</w:t>
      </w:r>
    </w:p>
    <w:p w:rsidR="003905A4" w:rsidRPr="001D15D4" w:rsidRDefault="003905A4" w:rsidP="003905A4">
      <w:pPr>
        <w:pStyle w:val="Default"/>
        <w:rPr>
          <w:rFonts w:ascii="Times New Roman" w:hAnsi="Times New Roman" w:cs="Times New Roman"/>
          <w:color w:val="auto"/>
          <w:sz w:val="28"/>
        </w:rPr>
      </w:pPr>
    </w:p>
    <w:p w:rsidR="00A938D0" w:rsidRPr="001D15D4" w:rsidRDefault="003905A4" w:rsidP="003905A4">
      <w:pPr>
        <w:pStyle w:val="Default"/>
        <w:rPr>
          <w:rFonts w:ascii="Times New Roman" w:hAnsi="Times New Roman" w:cs="Times New Roman"/>
          <w:color w:val="auto"/>
          <w:sz w:val="28"/>
        </w:rPr>
      </w:pPr>
      <w:r w:rsidRPr="001D15D4">
        <w:rPr>
          <w:rFonts w:ascii="Times New Roman" w:hAnsi="Times New Roman" w:cs="Times New Roman"/>
          <w:color w:val="auto"/>
          <w:sz w:val="28"/>
        </w:rPr>
        <w:t>The executive committee members and responsible evaluation specialists of the Association involved in conducting the Board performance evaluation for Adimmune Corporation have acted with impartiality, objectivity, and integrity, with no circumstances affecting independence. All have signed confidentiality agreements and declarations of independence and integrity principles.</w:t>
      </w:r>
    </w:p>
    <w:p w:rsidR="009D0528" w:rsidRPr="001D15D4" w:rsidRDefault="009D0528" w:rsidP="003905A4">
      <w:pPr>
        <w:pStyle w:val="Default"/>
        <w:rPr>
          <w:rFonts w:ascii="Times New Roman" w:hAnsi="Times New Roman" w:cs="Times New Roman"/>
          <w:color w:val="auto"/>
          <w:sz w:val="28"/>
        </w:rPr>
      </w:pPr>
    </w:p>
    <w:p w:rsidR="009D0528" w:rsidRPr="001D15D4" w:rsidRDefault="009D0528" w:rsidP="003905A4">
      <w:pPr>
        <w:pStyle w:val="Default"/>
        <w:rPr>
          <w:rFonts w:ascii="Times New Roman" w:hAnsi="Times New Roman" w:cs="Times New Roman"/>
          <w:color w:val="auto"/>
          <w:sz w:val="28"/>
        </w:rPr>
      </w:pPr>
    </w:p>
    <w:p w:rsidR="009D0528" w:rsidRPr="009D0528" w:rsidRDefault="009D0528" w:rsidP="009D0528">
      <w:pPr>
        <w:rPr>
          <w:rFonts w:ascii="Times New Roman" w:hAnsi="Times New Roman" w:cs="Times New Roman"/>
          <w:sz w:val="20"/>
        </w:rPr>
      </w:pPr>
      <w:r w:rsidRPr="001D15D4">
        <w:rPr>
          <w:rFonts w:ascii="Times New Roman" w:hAnsi="Times New Roman" w:cs="Times New Roman"/>
          <w:sz w:val="20"/>
        </w:rPr>
        <w:t>In the event of any inconsistency between the Chinese version and any translated version, the Chinese version shall prevail.</w:t>
      </w:r>
    </w:p>
    <w:sectPr w:rsidR="009D0528" w:rsidRPr="009D052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9C6" w:rsidRDefault="000979C6" w:rsidP="00A938D0">
      <w:r>
        <w:separator/>
      </w:r>
    </w:p>
  </w:endnote>
  <w:endnote w:type="continuationSeparator" w:id="0">
    <w:p w:rsidR="000979C6" w:rsidRDefault="000979C6" w:rsidP="00A9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9C6" w:rsidRDefault="000979C6" w:rsidP="00A938D0">
      <w:r>
        <w:separator/>
      </w:r>
    </w:p>
  </w:footnote>
  <w:footnote w:type="continuationSeparator" w:id="0">
    <w:p w:rsidR="000979C6" w:rsidRDefault="000979C6" w:rsidP="00A93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8EB292"/>
    <w:multiLevelType w:val="hybridMultilevel"/>
    <w:tmpl w:val="AFF9BD8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39A42"/>
    <w:multiLevelType w:val="hybridMultilevel"/>
    <w:tmpl w:val="0F7ED3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7224C8D"/>
    <w:multiLevelType w:val="hybridMultilevel"/>
    <w:tmpl w:val="6BAAF3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237"/>
    <w:rsid w:val="00036D30"/>
    <w:rsid w:val="0006283C"/>
    <w:rsid w:val="000979C6"/>
    <w:rsid w:val="000B23DF"/>
    <w:rsid w:val="000E7961"/>
    <w:rsid w:val="00105FC8"/>
    <w:rsid w:val="001C467A"/>
    <w:rsid w:val="001D15D4"/>
    <w:rsid w:val="001E4972"/>
    <w:rsid w:val="001F766A"/>
    <w:rsid w:val="002319FF"/>
    <w:rsid w:val="00254A36"/>
    <w:rsid w:val="003905A4"/>
    <w:rsid w:val="00462237"/>
    <w:rsid w:val="00482A68"/>
    <w:rsid w:val="004F256B"/>
    <w:rsid w:val="005B293F"/>
    <w:rsid w:val="008E107A"/>
    <w:rsid w:val="009D0528"/>
    <w:rsid w:val="00A025E7"/>
    <w:rsid w:val="00A85252"/>
    <w:rsid w:val="00A938D0"/>
    <w:rsid w:val="00AA0D1D"/>
    <w:rsid w:val="00AF34ED"/>
    <w:rsid w:val="00B17E32"/>
    <w:rsid w:val="00BF2BF2"/>
    <w:rsid w:val="00DA4327"/>
    <w:rsid w:val="00ED11DB"/>
    <w:rsid w:val="00EE2223"/>
    <w:rsid w:val="00EE33E4"/>
    <w:rsid w:val="00F918DB"/>
    <w:rsid w:val="00FB14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8D0"/>
    <w:pPr>
      <w:tabs>
        <w:tab w:val="center" w:pos="4153"/>
        <w:tab w:val="right" w:pos="8306"/>
      </w:tabs>
      <w:snapToGrid w:val="0"/>
    </w:pPr>
    <w:rPr>
      <w:sz w:val="20"/>
      <w:szCs w:val="20"/>
    </w:rPr>
  </w:style>
  <w:style w:type="character" w:customStyle="1" w:styleId="a4">
    <w:name w:val="頁首 字元"/>
    <w:basedOn w:val="a0"/>
    <w:link w:val="a3"/>
    <w:uiPriority w:val="99"/>
    <w:rsid w:val="00A938D0"/>
    <w:rPr>
      <w:sz w:val="20"/>
      <w:szCs w:val="20"/>
    </w:rPr>
  </w:style>
  <w:style w:type="paragraph" w:styleId="a5">
    <w:name w:val="footer"/>
    <w:basedOn w:val="a"/>
    <w:link w:val="a6"/>
    <w:uiPriority w:val="99"/>
    <w:unhideWhenUsed/>
    <w:rsid w:val="00A938D0"/>
    <w:pPr>
      <w:tabs>
        <w:tab w:val="center" w:pos="4153"/>
        <w:tab w:val="right" w:pos="8306"/>
      </w:tabs>
      <w:snapToGrid w:val="0"/>
    </w:pPr>
    <w:rPr>
      <w:sz w:val="20"/>
      <w:szCs w:val="20"/>
    </w:rPr>
  </w:style>
  <w:style w:type="character" w:customStyle="1" w:styleId="a6">
    <w:name w:val="頁尾 字元"/>
    <w:basedOn w:val="a0"/>
    <w:link w:val="a5"/>
    <w:uiPriority w:val="99"/>
    <w:rsid w:val="00A938D0"/>
    <w:rPr>
      <w:sz w:val="20"/>
      <w:szCs w:val="20"/>
    </w:rPr>
  </w:style>
  <w:style w:type="paragraph" w:customStyle="1" w:styleId="Default">
    <w:name w:val="Default"/>
    <w:rsid w:val="00A938D0"/>
    <w:pPr>
      <w:widowControl w:val="0"/>
      <w:autoSpaceDE w:val="0"/>
      <w:autoSpaceDN w:val="0"/>
      <w:adjustRightInd w:val="0"/>
    </w:pPr>
    <w:rPr>
      <w:rFonts w:ascii="標楷體" w:eastAsia="標楷體" w:cs="標楷體"/>
      <w:color w:val="000000"/>
      <w:kern w:val="0"/>
      <w:szCs w:val="24"/>
    </w:rPr>
  </w:style>
  <w:style w:type="table" w:styleId="a7">
    <w:name w:val="Table Grid"/>
    <w:basedOn w:val="a1"/>
    <w:uiPriority w:val="59"/>
    <w:rsid w:val="001F7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a9"/>
    <w:uiPriority w:val="99"/>
    <w:semiHidden/>
    <w:unhideWhenUsed/>
    <w:rsid w:val="002319FF"/>
    <w:pPr>
      <w:jc w:val="right"/>
    </w:pPr>
  </w:style>
  <w:style w:type="character" w:customStyle="1" w:styleId="a9">
    <w:name w:val="日期 字元"/>
    <w:basedOn w:val="a0"/>
    <w:link w:val="a8"/>
    <w:uiPriority w:val="99"/>
    <w:semiHidden/>
    <w:rsid w:val="002319FF"/>
  </w:style>
  <w:style w:type="paragraph" w:styleId="aa">
    <w:name w:val="Balloon Text"/>
    <w:basedOn w:val="a"/>
    <w:link w:val="ab"/>
    <w:uiPriority w:val="99"/>
    <w:semiHidden/>
    <w:unhideWhenUsed/>
    <w:rsid w:val="0006283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6283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8D0"/>
    <w:pPr>
      <w:tabs>
        <w:tab w:val="center" w:pos="4153"/>
        <w:tab w:val="right" w:pos="8306"/>
      </w:tabs>
      <w:snapToGrid w:val="0"/>
    </w:pPr>
    <w:rPr>
      <w:sz w:val="20"/>
      <w:szCs w:val="20"/>
    </w:rPr>
  </w:style>
  <w:style w:type="character" w:customStyle="1" w:styleId="a4">
    <w:name w:val="頁首 字元"/>
    <w:basedOn w:val="a0"/>
    <w:link w:val="a3"/>
    <w:uiPriority w:val="99"/>
    <w:rsid w:val="00A938D0"/>
    <w:rPr>
      <w:sz w:val="20"/>
      <w:szCs w:val="20"/>
    </w:rPr>
  </w:style>
  <w:style w:type="paragraph" w:styleId="a5">
    <w:name w:val="footer"/>
    <w:basedOn w:val="a"/>
    <w:link w:val="a6"/>
    <w:uiPriority w:val="99"/>
    <w:unhideWhenUsed/>
    <w:rsid w:val="00A938D0"/>
    <w:pPr>
      <w:tabs>
        <w:tab w:val="center" w:pos="4153"/>
        <w:tab w:val="right" w:pos="8306"/>
      </w:tabs>
      <w:snapToGrid w:val="0"/>
    </w:pPr>
    <w:rPr>
      <w:sz w:val="20"/>
      <w:szCs w:val="20"/>
    </w:rPr>
  </w:style>
  <w:style w:type="character" w:customStyle="1" w:styleId="a6">
    <w:name w:val="頁尾 字元"/>
    <w:basedOn w:val="a0"/>
    <w:link w:val="a5"/>
    <w:uiPriority w:val="99"/>
    <w:rsid w:val="00A938D0"/>
    <w:rPr>
      <w:sz w:val="20"/>
      <w:szCs w:val="20"/>
    </w:rPr>
  </w:style>
  <w:style w:type="paragraph" w:customStyle="1" w:styleId="Default">
    <w:name w:val="Default"/>
    <w:rsid w:val="00A938D0"/>
    <w:pPr>
      <w:widowControl w:val="0"/>
      <w:autoSpaceDE w:val="0"/>
      <w:autoSpaceDN w:val="0"/>
      <w:adjustRightInd w:val="0"/>
    </w:pPr>
    <w:rPr>
      <w:rFonts w:ascii="標楷體" w:eastAsia="標楷體" w:cs="標楷體"/>
      <w:color w:val="000000"/>
      <w:kern w:val="0"/>
      <w:szCs w:val="24"/>
    </w:rPr>
  </w:style>
  <w:style w:type="table" w:styleId="a7">
    <w:name w:val="Table Grid"/>
    <w:basedOn w:val="a1"/>
    <w:uiPriority w:val="59"/>
    <w:rsid w:val="001F7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a9"/>
    <w:uiPriority w:val="99"/>
    <w:semiHidden/>
    <w:unhideWhenUsed/>
    <w:rsid w:val="002319FF"/>
    <w:pPr>
      <w:jc w:val="right"/>
    </w:pPr>
  </w:style>
  <w:style w:type="character" w:customStyle="1" w:styleId="a9">
    <w:name w:val="日期 字元"/>
    <w:basedOn w:val="a0"/>
    <w:link w:val="a8"/>
    <w:uiPriority w:val="99"/>
    <w:semiHidden/>
    <w:rsid w:val="002319FF"/>
  </w:style>
  <w:style w:type="paragraph" w:styleId="aa">
    <w:name w:val="Balloon Text"/>
    <w:basedOn w:val="a"/>
    <w:link w:val="ab"/>
    <w:uiPriority w:val="99"/>
    <w:semiHidden/>
    <w:unhideWhenUsed/>
    <w:rsid w:val="0006283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628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3125</Words>
  <Characters>17815</Characters>
  <Application>Microsoft Office Word</Application>
  <DocSecurity>0</DocSecurity>
  <Lines>148</Lines>
  <Paragraphs>41</Paragraphs>
  <ScaleCrop>false</ScaleCrop>
  <Company/>
  <LinksUpToDate>false</LinksUpToDate>
  <CharactersWithSpaces>20899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u9335074@gms.ndhu.edu.tw</dc:creator>
  <cp:lastModifiedBy>adimmune1</cp:lastModifiedBy>
  <cp:revision>2</cp:revision>
  <dcterms:created xsi:type="dcterms:W3CDTF">2026-01-23T04:09:00Z</dcterms:created>
  <dcterms:modified xsi:type="dcterms:W3CDTF">2026-01-23T04:09:00Z</dcterms:modified>
</cp:coreProperties>
</file>